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88"/>
        <w:rPr>
          <w:rFonts w:ascii="宋体" w:hAnsi="宋体" w:cs="宋体"/>
          <w:b/>
          <w:color w:val="auto"/>
          <w:szCs w:val="21"/>
          <w:highlight w:val="none"/>
        </w:rPr>
      </w:pPr>
      <w:r>
        <w:rPr>
          <w:rFonts w:ascii="宋体" w:hAnsi="宋体" w:cs="宋体"/>
          <w:b/>
          <w:color w:val="auto"/>
          <w:szCs w:val="21"/>
          <w:highlight w:val="none"/>
        </w:rPr>
      </w:r>
      <w:r/>
    </w:p>
    <w:p>
      <w:pPr>
        <w:pStyle w:val="988"/>
        <w:rPr>
          <w:rFonts w:ascii="宋体" w:hAnsi="宋体" w:cs="宋体"/>
          <w:b/>
          <w:color w:val="auto"/>
          <w:szCs w:val="21"/>
          <w:highlight w:val="none"/>
        </w:rPr>
      </w:pPr>
      <w:r>
        <w:rPr>
          <w:rFonts w:ascii="宋体" w:hAnsi="宋体" w:cs="宋体"/>
          <w:b/>
          <w:color w:val="auto"/>
          <w:szCs w:val="21"/>
          <w:highlight w:val="none"/>
        </w:rPr>
      </w:r>
      <w:r/>
    </w:p>
    <w:p>
      <w:pPr>
        <w:pStyle w:val="988"/>
        <w:rPr>
          <w:rFonts w:ascii="宋体" w:hAnsi="宋体" w:cs="宋体"/>
          <w:b/>
          <w:color w:val="auto"/>
          <w:szCs w:val="21"/>
          <w:highlight w:val="none"/>
        </w:rPr>
      </w:pPr>
      <w:r>
        <w:rPr>
          <w:rFonts w:ascii="宋体" w:hAnsi="宋体" w:cs="宋体"/>
          <w:b/>
          <w:color w:val="auto"/>
          <w:szCs w:val="21"/>
          <w:highlight w:val="none"/>
        </w:rPr>
      </w:r>
      <w:r/>
    </w:p>
    <w:p>
      <w:pPr>
        <w:pStyle w:val="988"/>
        <w:rPr>
          <w:rFonts w:ascii="宋体" w:hAnsi="宋体" w:cs="宋体"/>
          <w:b/>
          <w:color w:val="auto"/>
          <w:szCs w:val="21"/>
          <w:highlight w:val="none"/>
        </w:rPr>
      </w:pPr>
      <w:r>
        <w:rPr>
          <w:rFonts w:ascii="宋体" w:hAnsi="宋体" w:cs="宋体"/>
          <w:b/>
          <w:color w:val="auto"/>
          <w:szCs w:val="21"/>
          <w:highlight w:val="none"/>
        </w:rPr>
      </w:r>
      <w:r/>
    </w:p>
    <w:p>
      <w:pPr>
        <w:pStyle w:val="988"/>
        <w:rPr>
          <w:rFonts w:ascii="宋体" w:hAnsi="宋体" w:cs="宋体"/>
          <w:b/>
          <w:color w:val="auto"/>
          <w:szCs w:val="21"/>
          <w:highlight w:val="none"/>
        </w:rPr>
      </w:pPr>
      <w:r>
        <w:rPr>
          <w:rFonts w:ascii="宋体" w:hAnsi="宋体" w:cs="宋体"/>
          <w:b/>
          <w:color w:val="auto"/>
          <w:szCs w:val="21"/>
          <w:highlight w:val="none"/>
        </w:rPr>
      </w:r>
      <w:r/>
    </w:p>
    <w:p>
      <w:pPr>
        <w:pStyle w:val="988"/>
        <w:rPr>
          <w:rFonts w:ascii="宋体" w:hAnsi="宋体" w:cs="宋体"/>
          <w:b/>
          <w:color w:val="auto"/>
          <w:szCs w:val="21"/>
          <w:highlight w:val="none"/>
        </w:rPr>
      </w:pPr>
      <w:r>
        <w:rPr>
          <w:rFonts w:ascii="宋体" w:hAnsi="宋体" w:cs="宋体"/>
          <w:b/>
          <w:color w:val="auto"/>
          <w:szCs w:val="21"/>
          <w:highlight w:val="none"/>
        </w:rPr>
      </w:r>
      <w:r/>
    </w:p>
    <w:p>
      <w:pPr>
        <w:pStyle w:val="987"/>
        <w:rPr>
          <w:rFonts w:ascii="宋体" w:hAnsi="宋体" w:cs="宋体"/>
          <w:b/>
          <w:color w:val="auto"/>
          <w:szCs w:val="21"/>
          <w:highlight w:val="none"/>
        </w:rPr>
      </w:pPr>
      <w:r>
        <w:rPr>
          <w:rFonts w:ascii="宋体" w:hAnsi="宋体" w:cs="宋体"/>
          <w:b/>
          <w:color w:val="auto"/>
          <w:szCs w:val="21"/>
          <w:highlight w:val="none"/>
        </w:rPr>
      </w:r>
      <w:r/>
    </w:p>
    <w:p>
      <w:pPr>
        <w:jc w:val="center"/>
        <w:rPr>
          <w:rFonts w:ascii="宋体" w:hAnsi="宋体" w:cs="宋体"/>
          <w:b/>
          <w:color w:val="auto"/>
          <w:spacing w:val="76"/>
          <w:sz w:val="112"/>
          <w:szCs w:val="112"/>
          <w:highlight w:val="none"/>
        </w:rPr>
      </w:pPr>
      <w:r>
        <w:rPr>
          <w:rFonts w:hint="eastAsia" w:ascii="宋体" w:hAnsi="宋体" w:cs="宋体"/>
          <w:b/>
          <w:color w:val="auto"/>
          <w:spacing w:val="76"/>
          <w:sz w:val="100"/>
          <w:szCs w:val="100"/>
          <w:highlight w:val="none"/>
        </w:rPr>
        <w:t xml:space="preserve">竞争性磋商文件</w:t>
      </w:r>
      <w:r/>
    </w:p>
    <w:p>
      <w:pPr>
        <w:pStyle w:val="987"/>
        <w:rPr>
          <w:rFonts w:ascii="宋体" w:hAnsi="宋体" w:cs="宋体"/>
          <w:color w:val="auto"/>
          <w:highlight w:val="none"/>
        </w:rPr>
      </w:pPr>
      <w:r>
        <w:rPr>
          <w:rFonts w:ascii="宋体" w:hAnsi="宋体" w:cs="宋体"/>
          <w:color w:val="auto"/>
          <w:highlight w:val="none"/>
        </w:rPr>
      </w:r>
      <w:r/>
    </w:p>
    <w:p>
      <w:pPr>
        <w:pStyle w:val="987"/>
        <w:ind w:left="0"/>
        <w:rPr>
          <w:rFonts w:ascii="宋体" w:hAnsi="宋体" w:cs="宋体"/>
          <w:color w:val="auto"/>
          <w:highlight w:val="none"/>
        </w:rPr>
      </w:pPr>
      <w:r>
        <w:rPr>
          <w:rFonts w:ascii="宋体" w:hAnsi="宋体" w:cs="宋体"/>
          <w:color w:val="auto"/>
          <w:highlight w:val="none"/>
        </w:rPr>
      </w:r>
      <w:r/>
    </w:p>
    <w:p>
      <w:pPr>
        <w:pStyle w:val="988"/>
        <w:jc w:val="center"/>
        <w:rPr>
          <w:rFonts w:ascii="宋体" w:hAnsi="宋体" w:cs="宋体"/>
          <w:b/>
          <w:bCs/>
          <w:color w:val="auto"/>
          <w:sz w:val="28"/>
          <w:szCs w:val="28"/>
          <w:highlight w:val="none"/>
        </w:rPr>
      </w:pPr>
      <w:r>
        <w:rPr>
          <w:rFonts w:ascii="宋体" w:hAnsi="宋体" w:cs="宋体"/>
          <w:b/>
          <w:bCs/>
          <w:color w:val="auto"/>
          <w:sz w:val="28"/>
          <w:szCs w:val="28"/>
          <w:highlight w:val="none"/>
        </w:rPr>
      </w:r>
      <w:r/>
    </w:p>
    <w:p>
      <w:pPr>
        <w:pStyle w:val="988"/>
        <w:rPr>
          <w:rFonts w:ascii="宋体" w:hAnsi="宋体" w:cs="宋体"/>
          <w:color w:val="auto"/>
          <w:highlight w:val="none"/>
        </w:rPr>
      </w:pPr>
      <w:r>
        <w:rPr>
          <w:rFonts w:ascii="宋体" w:hAnsi="宋体" w:cs="宋体"/>
          <w:color w:val="auto"/>
          <w:highlight w:val="none"/>
        </w:rPr>
      </w:r>
      <w:r/>
    </w:p>
    <w:p>
      <w:pPr>
        <w:ind w:firstLine="643"/>
        <w:rPr>
          <w:rFonts w:ascii="宋体" w:hAnsi="宋体" w:cs="宋体"/>
          <w:b/>
          <w:bCs/>
          <w:color w:val="auto"/>
          <w:sz w:val="32"/>
          <w:szCs w:val="32"/>
          <w:highlight w:val="none"/>
        </w:rPr>
      </w:pPr>
      <w:r>
        <w:rPr>
          <w:rFonts w:ascii="宋体" w:hAnsi="宋体" w:cs="宋体"/>
          <w:b/>
          <w:bCs/>
          <w:color w:val="auto"/>
          <w:sz w:val="32"/>
          <w:szCs w:val="32"/>
          <w:highlight w:val="none"/>
        </w:rPr>
      </w:r>
      <w:r/>
    </w:p>
    <w:p>
      <w:pPr>
        <w:ind w:firstLine="3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320"/>
        <w:spacing w:line="360" w:lineRule="auto"/>
        <w:rPr>
          <w:rFonts w:ascii="宋体" w:hAnsi="宋体" w:cs="宋体"/>
          <w:color w:val="auto"/>
          <w:highlight w:val="none"/>
        </w:rPr>
      </w:pPr>
      <w:r>
        <w:rPr>
          <w:rFonts w:hint="eastAsia" w:ascii="宋体" w:hAnsi="宋体" w:cs="宋体"/>
          <w:color w:val="auto"/>
          <w:sz w:val="32"/>
          <w:szCs w:val="32"/>
          <w:highlight w:val="none"/>
        </w:rPr>
        <w:t xml:space="preserve">项目编号：JSZC-320300-XZBP-C2025-0020</w:t>
      </w:r>
      <w:r/>
    </w:p>
    <w:p>
      <w:pPr>
        <w:ind w:left="1919" w:hanging="160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3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项目名称：徐州市自然资源和规划局</w:t>
      </w:r>
      <w:bookmarkStart w:id="0" w:name="OLE_LINK21"/>
      <w:r/>
      <w:bookmarkStart w:id="1" w:name="OLE_LINK20"/>
      <w:r>
        <w:rPr>
          <w:rFonts w:hint="eastAsia" w:ascii="宋体" w:hAnsi="宋体" w:cs="宋体"/>
          <w:color w:val="auto"/>
          <w:sz w:val="32"/>
          <w:szCs w:val="32"/>
          <w:highlight w:val="none"/>
        </w:rPr>
        <w:t xml:space="preserve">徐州市综合交通体系规划（2025-2035年）</w:t>
      </w:r>
      <w:bookmarkEnd w:id="0"/>
      <w:r/>
      <w:bookmarkEnd w:id="1"/>
      <w:r/>
      <w:r/>
    </w:p>
    <w:p>
      <w:pPr>
        <w:ind w:firstLine="320"/>
        <w:spacing w:line="360" w:lineRule="auto"/>
        <w:rPr>
          <w:rFonts w:ascii="宋体" w:hAnsi="宋体" w:cs="宋体"/>
          <w:color w:val="auto"/>
          <w:sz w:val="32"/>
          <w:szCs w:val="32"/>
          <w:highlight w:val="none"/>
        </w:rPr>
      </w:pPr>
      <w:r>
        <w:rPr>
          <w:rFonts w:ascii="宋体" w:hAnsi="宋体" w:cs="宋体"/>
          <w:color w:val="auto"/>
          <w:sz w:val="32"/>
          <w:szCs w:val="32"/>
          <w:highlight w:val="none"/>
        </w:rPr>
      </w:r>
      <w:r/>
    </w:p>
    <w:p>
      <w:pPr>
        <w:ind w:firstLine="320"/>
        <w:spacing w:line="360" w:lineRule="auto"/>
        <w:rPr>
          <w:rFonts w:ascii="宋体" w:hAnsi="宋体" w:cs="宋体"/>
          <w:color w:val="auto"/>
          <w:sz w:val="32"/>
          <w:szCs w:val="32"/>
          <w:highlight w:val="none"/>
        </w:rPr>
      </w:pPr>
      <w:r>
        <w:rPr>
          <w:rFonts w:hint="eastAsia" w:ascii="宋体" w:hAnsi="宋体" w:cs="宋体"/>
          <w:color w:val="auto"/>
          <w:sz w:val="32"/>
          <w:szCs w:val="32"/>
          <w:highlight w:val="none"/>
        </w:rPr>
        <w:t xml:space="preserve">采 购 人：徐州市自然资源和规划局</w:t>
      </w:r>
      <w:r/>
    </w:p>
    <w:p>
      <w:pPr>
        <w:pStyle w:val="987"/>
        <w:ind w:left="0"/>
        <w:spacing w:line="360" w:lineRule="auto"/>
        <w:rPr>
          <w:rFonts w:ascii="宋体" w:hAnsi="宋体" w:cs="宋体"/>
          <w:color w:val="auto"/>
          <w:sz w:val="44"/>
          <w:highlight w:val="none"/>
        </w:rPr>
      </w:pPr>
      <w:r>
        <w:rPr>
          <w:rFonts w:ascii="宋体" w:hAnsi="宋体" w:cs="宋体"/>
          <w:color w:val="auto"/>
          <w:sz w:val="44"/>
          <w:highlight w:val="none"/>
        </w:rPr>
      </w:r>
      <w:r/>
    </w:p>
    <w:p>
      <w:pPr>
        <w:ind w:right="-159"/>
        <w:spacing w:line="360" w:lineRule="auto"/>
        <w:rPr>
          <w:rFonts w:ascii="宋体" w:hAnsi="宋体" w:cs="宋体"/>
          <w:color w:val="auto"/>
          <w:sz w:val="44"/>
          <w:highlight w:val="none"/>
        </w:rPr>
      </w:pPr>
      <w:r>
        <w:rPr>
          <w:rFonts w:ascii="宋体" w:hAnsi="宋体" w:cs="宋体"/>
          <w:color w:val="auto"/>
          <w:sz w:val="44"/>
          <w:highlight w:val="none"/>
        </w:rPr>
      </w:r>
      <w:r/>
    </w:p>
    <w:p>
      <w:pPr>
        <w:ind w:right="-159" w:firstLine="2112"/>
        <w:spacing w:line="360" w:lineRule="auto"/>
        <w:rPr>
          <w:rFonts w:ascii="宋体" w:hAnsi="宋体" w:cs="宋体"/>
          <w:color w:val="auto"/>
          <w:sz w:val="44"/>
          <w:highlight w:val="none"/>
        </w:rPr>
      </w:pPr>
      <w:r>
        <w:rPr>
          <w:rFonts w:ascii="宋体" w:hAnsi="宋体" w:cs="宋体"/>
          <w:color w:val="auto"/>
          <w:sz w:val="44"/>
          <w:highlight w:val="none"/>
        </w:rPr>
      </w:r>
      <w:r/>
    </w:p>
    <w:p>
      <w:pPr>
        <w:jc w:val="center"/>
        <w:spacing w:line="360" w:lineRule="auto"/>
        <w:rPr>
          <w:rFonts w:ascii="宋体" w:hAnsi="宋体" w:cs="宋体"/>
          <w:color w:val="auto"/>
          <w:sz w:val="30"/>
          <w:highlight w:val="none"/>
        </w:rPr>
      </w:pPr>
      <w:r>
        <w:rPr>
          <w:rFonts w:hint="eastAsia" w:ascii="宋体" w:hAnsi="宋体" w:cs="宋体"/>
          <w:color w:val="auto"/>
          <w:sz w:val="30"/>
          <w:highlight w:val="none"/>
        </w:rPr>
        <w:t xml:space="preserve">采购代理机构：徐州保平建设项目管理咨询有限公司</w:t>
      </w:r>
      <w:r/>
    </w:p>
    <w:p>
      <w:pPr>
        <w:jc w:val="center"/>
        <w:spacing w:line="360" w:lineRule="auto"/>
        <w:rPr>
          <w:rFonts w:ascii="宋体" w:hAnsi="宋体" w:cs="宋体"/>
          <w:color w:val="auto"/>
          <w:sz w:val="32"/>
          <w:szCs w:val="32"/>
          <w:highlight w:val="none"/>
        </w:rPr>
      </w:pPr>
      <w:r>
        <w:rPr>
          <w:rFonts w:hint="eastAsia" w:ascii="宋体" w:hAnsi="宋体" w:cs="宋体"/>
          <w:bCs/>
          <w:color w:val="auto"/>
          <w:sz w:val="30"/>
          <w:highlight w:val="none"/>
        </w:rPr>
        <w:t xml:space="preserve">二〇二五年十一月</w:t>
      </w:r>
      <w:r/>
    </w:p>
    <w:p>
      <w:pPr>
        <w:spacing w:line="0" w:lineRule="atLeast"/>
        <w:rPr>
          <w:rFonts w:ascii="宋体" w:hAnsi="宋体" w:cs="宋体"/>
          <w:b/>
          <w:color w:val="auto"/>
          <w:sz w:val="36"/>
          <w:highlight w:val="none"/>
        </w:rPr>
      </w:pPr>
      <w:r>
        <w:rPr>
          <w:rFonts w:ascii="宋体" w:hAnsi="宋体" w:cs="宋体"/>
          <w:b/>
          <w:color w:val="auto"/>
          <w:sz w:val="36"/>
          <w:highlight w:val="none"/>
        </w:rPr>
      </w:r>
      <w:r/>
    </w:p>
    <w:p>
      <w:pPr>
        <w:jc w:val="center"/>
        <w:spacing w:line="0" w:lineRule="atLeast"/>
        <w:rPr>
          <w:rFonts w:ascii="宋体" w:hAnsi="宋体" w:cs="宋体"/>
          <w:b/>
          <w:color w:val="auto"/>
          <w:sz w:val="36"/>
          <w:highlight w:val="none"/>
        </w:rPr>
        <w:sectPr>
          <w:headerReference w:type="default" r:id="rId9"/>
          <w:headerReference w:type="first" r:id="rId10"/>
          <w:footerReference w:type="even" r:id="rId13"/>
          <w:footnotePr/>
          <w:endnotePr/>
          <w:type w:val="nextPage"/>
          <w:pgSz w:w="11906" w:h="16838" w:orient="portrait"/>
          <w:pgMar w:top="1134" w:right="1797" w:bottom="1134" w:left="1797" w:header="851" w:footer="992" w:gutter="0"/>
          <w:pgNumType w:start="1"/>
          <w:cols w:num="1" w:sep="0" w:space="1701" w:equalWidth="1"/>
          <w:docGrid w:linePitch="360"/>
          <w:titlePg/>
        </w:sectPr>
      </w:pPr>
      <w:r>
        <w:rPr>
          <w:rFonts w:ascii="宋体" w:hAnsi="宋体" w:cs="宋体"/>
          <w:b/>
          <w:color w:val="auto"/>
          <w:sz w:val="36"/>
          <w:highlight w:val="none"/>
        </w:rPr>
      </w:r>
      <w:r/>
    </w:p>
    <w:p>
      <w:pPr>
        <w:jc w:val="center"/>
        <w:spacing w:line="360" w:lineRule="auto"/>
        <w:rPr>
          <w:rFonts w:ascii="宋体" w:hAnsi="宋体" w:cs="宋体"/>
          <w:color w:val="auto"/>
          <w:sz w:val="24"/>
          <w:highlight w:val="none"/>
        </w:rPr>
      </w:pPr>
      <w:r>
        <w:rPr>
          <w:rFonts w:hint="eastAsia" w:ascii="宋体" w:hAnsi="宋体" w:cs="宋体"/>
          <w:b/>
          <w:color w:val="auto"/>
          <w:sz w:val="44"/>
          <w:szCs w:val="44"/>
          <w:highlight w:val="none"/>
        </w:rPr>
        <w:t xml:space="preserve">竞争性磋商文件</w:t>
      </w:r>
      <w:r/>
    </w:p>
    <w:p>
      <w:pPr>
        <w:jc w:val="center"/>
        <w:spacing w:line="360" w:lineRule="auto"/>
        <w:rPr>
          <w:rFonts w:ascii="宋体" w:hAnsi="宋体" w:cs="宋体"/>
          <w:color w:val="auto"/>
          <w:sz w:val="24"/>
          <w:highlight w:val="none"/>
          <w:u w:val="single"/>
        </w:rPr>
      </w:pPr>
      <w:r>
        <w:rPr>
          <w:rFonts w:hint="eastAsia" w:ascii="宋体" w:hAnsi="宋体" w:cs="宋体"/>
          <w:b/>
          <w:bCs/>
          <w:color w:val="auto"/>
          <w:sz w:val="24"/>
          <w:highlight w:val="none"/>
        </w:rPr>
        <w:t xml:space="preserve">项目编号： JSZC-320300-XZBP-C2025-0020</w:t>
      </w:r>
      <w:r/>
    </w:p>
    <w:p>
      <w:pPr>
        <w:spacing w:line="360" w:lineRule="auto"/>
        <w:tabs>
          <w:tab w:val="left" w:pos="3240" w:leader="none"/>
        </w:tabs>
        <w:rPr>
          <w:rFonts w:ascii="宋体" w:hAnsi="宋体" w:cs="宋体"/>
          <w:color w:val="auto"/>
          <w:sz w:val="24"/>
          <w:highlight w:val="none"/>
        </w:rPr>
      </w:pP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（供应商）：</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u w:val="single"/>
        </w:rPr>
        <w:t xml:space="preserve">徐州保平建设项目管理咨询有限公司</w:t>
      </w:r>
      <w:r>
        <w:rPr>
          <w:rFonts w:hint="eastAsia" w:ascii="宋体" w:hAnsi="宋体" w:cs="宋体"/>
          <w:color w:val="auto"/>
          <w:sz w:val="24"/>
          <w:highlight w:val="none"/>
        </w:rPr>
        <w:t xml:space="preserve">对</w:t>
      </w:r>
      <w:r>
        <w:rPr>
          <w:rFonts w:hint="eastAsia" w:ascii="宋体" w:hAnsi="宋体" w:cs="宋体"/>
          <w:color w:val="auto"/>
          <w:sz w:val="24"/>
          <w:highlight w:val="none"/>
          <w:u w:val="single"/>
        </w:rPr>
        <w:t xml:space="preserve">徐州市自然资源和规划局徐州市综合交通体系规划（2025-2035年）</w:t>
      </w:r>
      <w:r>
        <w:rPr>
          <w:rFonts w:hint="eastAsia" w:ascii="宋体" w:hAnsi="宋体" w:cs="宋体"/>
          <w:color w:val="auto"/>
          <w:sz w:val="24"/>
          <w:highlight w:val="none"/>
        </w:rPr>
        <w:t xml:space="preserve">项目采取竞争性磋商采购方式进行采购，竞争性磋商文件（以下简称《磋商文件》）内容如下：</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第一章 项目说明</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一、</w:t>
      </w:r>
      <w:r>
        <w:rPr>
          <w:rFonts w:hint="eastAsia" w:ascii="宋体" w:hAnsi="宋体" w:cs="宋体"/>
          <w:color w:val="auto"/>
          <w:sz w:val="24"/>
          <w:highlight w:val="none"/>
        </w:rPr>
        <w:t xml:space="preserve">采购人：徐州市自然资源和规划局。</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w:t>
      </w:r>
      <w:r>
        <w:rPr>
          <w:rFonts w:hint="eastAsia" w:ascii="宋体" w:hAnsi="宋体" w:cs="宋体"/>
          <w:color w:val="auto"/>
          <w:sz w:val="24"/>
          <w:highlight w:val="none"/>
        </w:rPr>
        <w:t xml:space="preserve">项目名称：徐州市自然资源和规划局徐州市综合交通体系规划（2025-2035年）。</w:t>
      </w:r>
      <w:r/>
    </w:p>
    <w:p>
      <w:pPr>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三、</w:t>
      </w:r>
      <w:r>
        <w:rPr>
          <w:rFonts w:hint="eastAsia" w:ascii="宋体" w:hAnsi="宋体" w:cs="宋体"/>
          <w:color w:val="auto"/>
          <w:sz w:val="24"/>
          <w:highlight w:val="none"/>
        </w:rPr>
        <w:t xml:space="preserve">项目编号： JSZC-320300-XZBP-C2025-0020</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四、</w:t>
      </w:r>
      <w:r>
        <w:rPr>
          <w:rFonts w:hint="eastAsia" w:ascii="宋体" w:hAnsi="宋体" w:cs="宋体"/>
          <w:color w:val="auto"/>
          <w:sz w:val="24"/>
          <w:highlight w:val="none"/>
        </w:rPr>
        <w:t xml:space="preserve">采购邀请：通过发布公告的方式邀请符合相应资格条件的供应商参与竞争性磋商采购活动。</w:t>
      </w:r>
      <w:r/>
    </w:p>
    <w:p>
      <w:pPr>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五、</w:t>
      </w:r>
      <w:r>
        <w:rPr>
          <w:rFonts w:hint="eastAsia" w:ascii="宋体" w:hAnsi="宋体" w:cs="宋体"/>
          <w:color w:val="auto"/>
          <w:sz w:val="24"/>
          <w:highlight w:val="none"/>
        </w:rPr>
        <w:t xml:space="preserve">采购方式：本项目采用竞争性磋商采购方式。</w:t>
      </w:r>
      <w:r/>
    </w:p>
    <w:p>
      <w:pPr>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六、</w:t>
      </w:r>
      <w:r>
        <w:rPr>
          <w:rFonts w:hint="eastAsia" w:ascii="宋体" w:hAnsi="宋体" w:cs="宋体"/>
          <w:color w:val="auto"/>
          <w:sz w:val="24"/>
          <w:highlight w:val="none"/>
        </w:rPr>
        <w:t xml:space="preserve">供应商资格条件：见竞争性磋商公告。</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七、采购预算（采购项目预算金额）：见《磋商文件》附件2、《项目要求（采购需求）》。</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八、</w:t>
      </w:r>
      <w:r>
        <w:rPr>
          <w:rFonts w:hint="eastAsia" w:ascii="宋体" w:hAnsi="宋体" w:cs="宋体"/>
          <w:color w:val="auto"/>
          <w:sz w:val="24"/>
          <w:highlight w:val="none"/>
        </w:rPr>
        <w:t xml:space="preserve">采购需求：见《磋商文件》附件2、《项目要求（采购需求）》。</w:t>
      </w:r>
      <w:r/>
    </w:p>
    <w:p>
      <w:pP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九、</w:t>
      </w:r>
      <w:r>
        <w:rPr>
          <w:rFonts w:hint="eastAsia" w:ascii="宋体" w:hAnsi="宋体" w:cs="宋体"/>
          <w:color w:val="auto"/>
          <w:sz w:val="24"/>
          <w:highlight w:val="none"/>
        </w:rPr>
        <w:t xml:space="preserve">合同条款：见《磋商文件》附件6、《合同条款》。</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十、报价要求</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1、供应商报价为要约，</w:t>
      </w:r>
      <w:r>
        <w:rPr>
          <w:rFonts w:hint="eastAsia" w:ascii="宋体" w:hAnsi="宋体" w:cs="宋体"/>
          <w:color w:val="auto"/>
          <w:sz w:val="24"/>
          <w:highlight w:val="none"/>
          <w:u w:val="single"/>
        </w:rPr>
        <w:t xml:space="preserve">徐州保平建设项目管理咨询有限公司</w:t>
      </w:r>
      <w:r>
        <w:rPr>
          <w:rFonts w:hint="eastAsia" w:ascii="宋体" w:hAnsi="宋体" w:cs="宋体"/>
          <w:color w:val="auto"/>
          <w:sz w:val="24"/>
          <w:highlight w:val="none"/>
        </w:rPr>
        <w:t xml:space="preserve">无承诺表示时视为未成交，</w:t>
      </w:r>
      <w:r>
        <w:rPr>
          <w:rFonts w:hint="eastAsia" w:ascii="宋体" w:hAnsi="宋体" w:cs="宋体"/>
          <w:color w:val="auto"/>
          <w:sz w:val="24"/>
          <w:highlight w:val="none"/>
          <w:u w:val="single"/>
        </w:rPr>
        <w:t xml:space="preserve">徐州保平建设项目管理咨询有限公司</w:t>
      </w:r>
      <w:r>
        <w:rPr>
          <w:rFonts w:hint="eastAsia" w:ascii="宋体" w:hAnsi="宋体" w:cs="宋体"/>
          <w:color w:val="auto"/>
          <w:sz w:val="24"/>
          <w:highlight w:val="none"/>
        </w:rPr>
        <w:t xml:space="preserve">认为必要时可重新进行竞争性磋商采购或采取其它方式采购。</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2、按照《磋商报价表》要求填写首次报价。</w:t>
      </w:r>
      <w:r/>
    </w:p>
    <w:p>
      <w:pPr>
        <w:ind w:right="-57"/>
        <w:spacing w:line="360" w:lineRule="auto"/>
        <w:rPr>
          <w:rFonts w:ascii="宋体" w:hAnsi="宋体" w:cs="宋体"/>
          <w:color w:val="auto"/>
          <w:sz w:val="24"/>
          <w:highlight w:val="none"/>
        </w:rPr>
      </w:pPr>
      <w:r>
        <w:rPr>
          <w:rFonts w:hint="eastAsia" w:ascii="宋体" w:hAnsi="宋体" w:cs="宋体"/>
          <w:color w:val="auto"/>
          <w:sz w:val="24"/>
          <w:highlight w:val="none"/>
        </w:rPr>
        <w:t xml:space="preserve">3、报价包含本项目范围内的全部费用。供应商有漏报或不报的，采购人将视为有关费用已包括在本项目的报价中而不予支付。采购人不支付报价以外的任何费用。</w:t>
      </w:r>
      <w:r/>
    </w:p>
    <w:p>
      <w:pPr>
        <w:ind w:left="497"/>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left="497"/>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第二章 磋商保证金</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十一、供应商提交磋商保证金</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1、磋商保证金交纳数额和形式：不需交纳。</w:t>
      </w:r>
      <w:r/>
    </w:p>
    <w:p>
      <w:pPr>
        <w:ind w:left="497"/>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第三章 响应文件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十二、提交响应文件要求</w:t>
      </w:r>
      <w:r/>
    </w:p>
    <w:p>
      <w:pPr>
        <w:spacing w:line="360" w:lineRule="auto"/>
        <w:rPr>
          <w:rStyle w:val="1239"/>
          <w:rFonts w:ascii="宋体" w:hAnsi="宋体" w:cs="宋体"/>
          <w:bCs/>
          <w:color w:val="auto"/>
          <w:sz w:val="24"/>
          <w:highlight w:val="none"/>
        </w:rPr>
      </w:pPr>
      <w:r>
        <w:rPr>
          <w:rStyle w:val="1239"/>
          <w:rFonts w:hint="eastAsia" w:ascii="宋体" w:hAnsi="宋体" w:cs="宋体"/>
          <w:bCs/>
          <w:color w:val="auto"/>
          <w:sz w:val="24"/>
          <w:highlight w:val="none"/>
        </w:rPr>
        <w:t xml:space="preserve">（一）本项目通过“苏采云”系统进行电子采购，即供应商响应文件从政府采购客户端工具制作并通过“苏采云”系统提交。</w:t>
      </w:r>
      <w:r/>
    </w:p>
    <w:p>
      <w:pPr>
        <w:ind w:firstLine="480"/>
        <w:spacing w:line="360" w:lineRule="auto"/>
        <w:rPr>
          <w:rStyle w:val="1239"/>
          <w:rFonts w:ascii="宋体" w:hAnsi="宋体" w:cs="宋体"/>
          <w:bCs/>
          <w:color w:val="auto"/>
          <w:sz w:val="24"/>
          <w:highlight w:val="none"/>
        </w:rPr>
      </w:pPr>
      <w:r>
        <w:rPr>
          <w:rStyle w:val="1239"/>
          <w:rFonts w:hint="eastAsia" w:ascii="宋体" w:hAnsi="宋体" w:cs="宋体"/>
          <w:bCs/>
          <w:color w:val="auto"/>
          <w:sz w:val="24"/>
          <w:highlight w:val="none"/>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color w:val="auto"/>
          <w:highlight w:val="none"/>
        </w:rPr>
      </w:pPr>
      <w:r>
        <w:rPr>
          <w:rStyle w:val="1239"/>
          <w:rFonts w:hint="eastAsia" w:ascii="宋体" w:hAnsi="宋体" w:cs="宋体"/>
          <w:bCs/>
          <w:color w:val="auto"/>
          <w:sz w:val="24"/>
          <w:highlight w:val="none"/>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jc w:val="left"/>
        <w:spacing w:line="360" w:lineRule="auto"/>
        <w:rPr>
          <w:rStyle w:val="1239"/>
          <w:rFonts w:ascii="宋体" w:hAnsi="宋体" w:cs="宋体"/>
          <w:bCs/>
          <w:color w:val="auto"/>
          <w:sz w:val="24"/>
          <w:highlight w:val="none"/>
        </w:rPr>
      </w:pPr>
      <w:r>
        <w:rPr>
          <w:rStyle w:val="1239"/>
          <w:rFonts w:hint="eastAsia" w:ascii="宋体" w:hAnsi="宋体" w:cs="宋体"/>
          <w:bCs/>
          <w:color w:val="auto"/>
          <w:sz w:val="24"/>
          <w:highlight w:val="none"/>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spacing w:line="360" w:lineRule="auto"/>
        <w:rPr>
          <w:rStyle w:val="1239"/>
          <w:rFonts w:ascii="宋体" w:hAnsi="宋体" w:cs="宋体"/>
          <w:b/>
          <w:color w:val="auto"/>
          <w:sz w:val="24"/>
          <w:highlight w:val="none"/>
        </w:rPr>
      </w:pPr>
      <w:r>
        <w:rPr>
          <w:rStyle w:val="1239"/>
          <w:rFonts w:hint="eastAsia" w:ascii="宋体" w:hAnsi="宋体" w:cs="宋体"/>
          <w:b/>
          <w:color w:val="auto"/>
          <w:sz w:val="24"/>
          <w:highlight w:val="none"/>
        </w:rPr>
        <w:t xml:space="preserve">“苏采云”系统使用要求：</w:t>
      </w:r>
      <w:r/>
    </w:p>
    <w:p>
      <w:pPr>
        <w:ind w:firstLine="480"/>
        <w:spacing w:line="360" w:lineRule="auto"/>
        <w:rPr>
          <w:rStyle w:val="1239"/>
          <w:rFonts w:ascii="宋体" w:hAnsi="宋体" w:cs="宋体"/>
          <w:bCs/>
          <w:color w:val="auto"/>
          <w:sz w:val="24"/>
          <w:highlight w:val="none"/>
        </w:rPr>
      </w:pPr>
      <w:r>
        <w:rPr>
          <w:rStyle w:val="1239"/>
          <w:rFonts w:hint="eastAsia" w:ascii="宋体" w:hAnsi="宋体" w:cs="宋体"/>
          <w:bCs/>
          <w:color w:val="auto"/>
          <w:sz w:val="24"/>
          <w:highlight w:val="none"/>
        </w:rPr>
        <w:t xml:space="preserve">1、使用谷歌浏览器参与不见面开标及磋商环节。</w:t>
      </w:r>
      <w:r/>
    </w:p>
    <w:p>
      <w:pPr>
        <w:ind w:firstLine="480"/>
        <w:spacing w:line="360" w:lineRule="auto"/>
        <w:rPr>
          <w:rStyle w:val="1239"/>
          <w:rFonts w:ascii="宋体" w:hAnsi="宋体" w:cs="宋体"/>
          <w:bCs/>
          <w:color w:val="000000" w:themeColor="text1"/>
          <w:sz w:val="24"/>
          <w:highlight w:val="none"/>
        </w:rPr>
      </w:pPr>
      <w:r>
        <w:rPr>
          <w:rStyle w:val="1239"/>
          <w:rFonts w:hint="eastAsia" w:ascii="宋体" w:hAnsi="宋体" w:cs="宋体"/>
          <w:bCs/>
          <w:color w:val="auto"/>
          <w:sz w:val="24"/>
          <w:highlight w:val="none"/>
        </w:rPr>
        <w:t xml:space="preserve">2、电脑需提前准备好</w:t>
      </w:r>
      <w:r>
        <w:rPr>
          <w:rStyle w:val="1239"/>
          <w:rFonts w:hint="eastAsia" w:ascii="宋体" w:hAnsi="宋体" w:cs="宋体"/>
          <w:bCs/>
          <w:color w:val="000000" w:themeColor="text1"/>
          <w:sz w:val="24"/>
          <w:highlight w:val="none"/>
        </w:rPr>
        <w:t xml:space="preserve">麦克风、音响，摄像头，提前检查保证能够正常使用。</w:t>
      </w:r>
      <w:r>
        <w:rPr>
          <w:color w:val="000000" w:themeColor="text1"/>
        </w:rPr>
      </w:r>
    </w:p>
    <w:p>
      <w:pPr>
        <w:ind w:firstLine="480"/>
        <w:spacing w:line="360" w:lineRule="auto"/>
        <w:rPr>
          <w:rStyle w:val="1239"/>
          <w:rFonts w:ascii="宋体" w:hAnsi="宋体" w:cs="宋体"/>
          <w:bCs/>
          <w:color w:val="000000" w:themeColor="text1"/>
          <w:sz w:val="24"/>
          <w:highlight w:val="none"/>
        </w:rPr>
      </w:pPr>
      <w:r>
        <w:rPr>
          <w:rStyle w:val="1239"/>
          <w:rFonts w:hint="eastAsia" w:ascii="宋体" w:hAnsi="宋体" w:cs="宋体"/>
          <w:bCs/>
          <w:color w:val="000000" w:themeColor="text1"/>
          <w:sz w:val="24"/>
          <w:highlight w:val="none"/>
        </w:rPr>
        <w:t xml:space="preserve">3、操作系统至少win7以上，建议使用win10操作系统。</w:t>
      </w:r>
      <w:r>
        <w:rPr>
          <w:color w:val="000000" w:themeColor="text1"/>
        </w:rPr>
      </w:r>
    </w:p>
    <w:p>
      <w:pPr>
        <w:pStyle w:val="909"/>
        <w:spacing w:line="360" w:lineRule="auto"/>
        <w:rPr>
          <w:rFonts w:ascii="宋体" w:hAnsi="宋体" w:cs="宋体"/>
          <w:color w:val="000000" w:themeColor="text1"/>
          <w:sz w:val="24"/>
          <w:highlight w:val="none"/>
        </w:rPr>
      </w:pPr>
      <w:r>
        <w:rPr>
          <w:rFonts w:hint="eastAsia" w:ascii="宋体" w:hAnsi="宋体" w:cs="宋体"/>
          <w:b/>
          <w:bCs/>
          <w:color w:val="000000" w:themeColor="text1"/>
          <w:sz w:val="24"/>
          <w:highlight w:val="none"/>
        </w:rPr>
        <w:t xml:space="preserve">（二）首次响应文件提交的截止时间：</w:t>
      </w:r>
      <w:r>
        <w:rPr>
          <w:rFonts w:hint="eastAsia" w:ascii="宋体" w:hAnsi="宋体" w:cs="宋体"/>
          <w:b/>
          <w:bCs/>
          <w:color w:val="000000" w:themeColor="text1"/>
          <w:sz w:val="24"/>
          <w:highlight w:val="none"/>
        </w:rPr>
        <w:t xml:space="preserve">2025年</w:t>
      </w:r>
      <w:r>
        <w:rPr>
          <w:rFonts w:hint="eastAsia" w:ascii="宋体" w:hAnsi="宋体" w:cs="宋体"/>
          <w:b/>
          <w:bCs/>
          <w:color w:val="000000" w:themeColor="text1"/>
          <w:sz w:val="24"/>
          <w:highlight w:val="none"/>
          <w:u w:val="single"/>
        </w:rPr>
        <w:t xml:space="preserve"> 12 </w:t>
      </w:r>
      <w:r>
        <w:rPr>
          <w:rFonts w:hint="eastAsia" w:ascii="宋体" w:hAnsi="宋体" w:cs="宋体"/>
          <w:b/>
          <w:bCs/>
          <w:color w:val="000000" w:themeColor="text1"/>
          <w:sz w:val="24"/>
          <w:highlight w:val="none"/>
        </w:rPr>
        <w:t xml:space="preserve">月</w:t>
      </w:r>
      <w:r>
        <w:rPr>
          <w:rFonts w:hint="eastAsia" w:ascii="宋体" w:hAnsi="宋体" w:cs="宋体"/>
          <w:b/>
          <w:bCs/>
          <w:color w:val="000000" w:themeColor="text1"/>
          <w:sz w:val="24"/>
          <w:highlight w:val="none"/>
          <w:u w:val="single"/>
        </w:rPr>
        <w:t xml:space="preserve"> 1 </w:t>
      </w:r>
      <w:r>
        <w:rPr>
          <w:rFonts w:hint="eastAsia" w:ascii="宋体" w:hAnsi="宋体" w:cs="宋体"/>
          <w:b/>
          <w:bCs/>
          <w:color w:val="000000" w:themeColor="text1"/>
          <w:sz w:val="24"/>
          <w:highlight w:val="none"/>
        </w:rPr>
        <w:t xml:space="preserve">日上午09：30，</w:t>
      </w:r>
      <w:r>
        <w:rPr>
          <w:rFonts w:hint="eastAsia" w:ascii="宋体" w:hAnsi="宋体" w:cs="宋体"/>
          <w:color w:val="000000" w:themeColor="text1"/>
          <w:sz w:val="24"/>
          <w:highlight w:val="none"/>
        </w:rPr>
        <w:t xml:space="preserve">在截止时间后提交的首次响应文件为无效文件，将被拒收。</w:t>
      </w:r>
      <w:r>
        <w:rPr>
          <w:color w:val="000000" w:themeColor="text1"/>
        </w:rPr>
      </w:r>
    </w:p>
    <w:p>
      <w:pPr>
        <w:pStyle w:val="909"/>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（三）首次响应文件提交时间、地点：</w:t>
      </w:r>
      <w:r>
        <w:rPr>
          <w:color w:val="000000" w:themeColor="text1"/>
        </w:rPr>
      </w:r>
    </w:p>
    <w:p>
      <w:pPr>
        <w:pStyle w:val="909"/>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1、提交时间：</w:t>
      </w:r>
      <w:r>
        <w:rPr>
          <w:color w:val="000000" w:themeColor="text1"/>
        </w:rPr>
      </w:r>
    </w:p>
    <w:p>
      <w:pPr>
        <w:pStyle w:val="909"/>
        <w:ind w:firstLine="480"/>
        <w:spacing w:line="360" w:lineRule="auto"/>
        <w:rPr>
          <w:rFonts w:ascii="宋体" w:hAnsi="宋体" w:cs="宋体"/>
          <w:b/>
          <w:bCs/>
          <w:color w:val="000000" w:themeColor="text1"/>
          <w:sz w:val="24"/>
          <w:highlight w:val="none"/>
        </w:rPr>
      </w:pPr>
      <w:r>
        <w:rPr>
          <w:rFonts w:hint="eastAsia" w:ascii="宋体" w:hAnsi="宋体" w:cs="宋体"/>
          <w:color w:val="000000" w:themeColor="text1"/>
          <w:sz w:val="24"/>
          <w:highlight w:val="none"/>
        </w:rPr>
        <w:t xml:space="preserve">首次响应文件提交的截止时间</w:t>
      </w:r>
      <w:r>
        <w:rPr>
          <w:rFonts w:hint="eastAsia" w:ascii="宋体" w:hAnsi="宋体" w:cs="宋体"/>
          <w:b/>
          <w:bCs/>
          <w:color w:val="000000" w:themeColor="text1"/>
          <w:sz w:val="24"/>
          <w:highlight w:val="none"/>
        </w:rPr>
        <w:t xml:space="preserve">（</w:t>
      </w:r>
      <w:r>
        <w:rPr>
          <w:rFonts w:hint="eastAsia" w:ascii="宋体" w:hAnsi="宋体" w:cs="宋体"/>
          <w:b/>
          <w:bCs/>
          <w:color w:val="000000" w:themeColor="text1"/>
          <w:sz w:val="24"/>
          <w:highlight w:val="none"/>
        </w:rPr>
        <w:t xml:space="preserve">2025年</w:t>
      </w:r>
      <w:r>
        <w:rPr>
          <w:rFonts w:hint="eastAsia" w:ascii="宋体" w:hAnsi="宋体" w:cs="宋体"/>
          <w:b/>
          <w:bCs/>
          <w:color w:val="000000" w:themeColor="text1"/>
          <w:sz w:val="24"/>
          <w:highlight w:val="none"/>
          <w:u w:val="single"/>
        </w:rPr>
        <w:t xml:space="preserve"> 12 </w:t>
      </w:r>
      <w:r>
        <w:rPr>
          <w:rFonts w:hint="eastAsia" w:ascii="宋体" w:hAnsi="宋体" w:cs="宋体"/>
          <w:b/>
          <w:bCs/>
          <w:color w:val="000000" w:themeColor="text1"/>
          <w:sz w:val="24"/>
          <w:highlight w:val="none"/>
        </w:rPr>
        <w:t xml:space="preserve">月</w:t>
      </w:r>
      <w:r>
        <w:rPr>
          <w:rFonts w:hint="eastAsia" w:ascii="宋体" w:hAnsi="宋体" w:cs="宋体"/>
          <w:b/>
          <w:bCs/>
          <w:color w:val="000000" w:themeColor="text1"/>
          <w:sz w:val="24"/>
          <w:highlight w:val="none"/>
          <w:u w:val="single"/>
        </w:rPr>
        <w:t xml:space="preserve"> 1 </w:t>
      </w:r>
      <w:r>
        <w:rPr>
          <w:rFonts w:hint="eastAsia" w:ascii="宋体" w:hAnsi="宋体" w:cs="宋体"/>
          <w:b/>
          <w:bCs/>
          <w:color w:val="000000" w:themeColor="text1"/>
          <w:sz w:val="24"/>
          <w:highlight w:val="none"/>
        </w:rPr>
        <w:t xml:space="preserve">日上午09：30</w:t>
      </w:r>
      <w:r>
        <w:rPr>
          <w:rFonts w:hint="eastAsia" w:ascii="宋体" w:hAnsi="宋体" w:cs="宋体"/>
          <w:b/>
          <w:bCs/>
          <w:color w:val="000000" w:themeColor="text1"/>
          <w:sz w:val="24"/>
          <w:highlight w:val="none"/>
        </w:rPr>
        <w:t xml:space="preserve">）前</w:t>
      </w:r>
      <w:r>
        <w:rPr>
          <w:rFonts w:hint="eastAsia" w:ascii="宋体" w:hAnsi="宋体" w:cs="宋体"/>
          <w:b/>
          <w:bCs/>
          <w:color w:val="000000" w:themeColor="text1"/>
          <w:sz w:val="24"/>
          <w:highlight w:val="none"/>
        </w:rPr>
        <w:t xml:space="preserve">。</w:t>
      </w:r>
      <w:r>
        <w:rPr>
          <w:color w:val="000000" w:themeColor="text1"/>
        </w:rPr>
      </w:r>
    </w:p>
    <w:p>
      <w:pPr>
        <w:pStyle w:val="909"/>
        <w:ind w:firstLine="482"/>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2、提交地点：</w:t>
      </w:r>
      <w:r>
        <w:rPr>
          <w:color w:val="000000" w:themeColor="text1"/>
        </w:rPr>
      </w:r>
    </w:p>
    <w:p>
      <w:pPr>
        <w:pStyle w:val="909"/>
        <w:ind w:firstLine="480"/>
        <w:spacing w:line="360" w:lineRule="auto"/>
        <w:rPr>
          <w:rFonts w:ascii="宋体" w:hAnsi="宋体" w:cs="宋体"/>
          <w:color w:val="000000" w:themeColor="text1"/>
          <w:sz w:val="24"/>
          <w:highlight w:val="none"/>
        </w:rPr>
      </w:pPr>
      <w:r>
        <w:rPr>
          <w:rFonts w:hint="eastAsia" w:ascii="宋体" w:hAnsi="宋体" w:cs="宋体"/>
          <w:color w:val="000000" w:themeColor="text1"/>
          <w:sz w:val="24"/>
          <w:highlight w:val="none"/>
        </w:rPr>
        <w:t xml:space="preserve">“苏采云”系统（网址：http://jszfcg.jsczt.cn/）“开标大厅”或进入徐州政府采购网（网址：http://czj.xz.gov.cn/Home/HomeIndex）-业务工作-用户登录，点击“苏采云”进入系统“开标大厅”。 </w:t>
      </w:r>
      <w:r>
        <w:rPr>
          <w:color w:val="000000" w:themeColor="text1"/>
        </w:rPr>
      </w:r>
    </w:p>
    <w:p>
      <w:pPr>
        <w:pStyle w:val="909"/>
        <w:spacing w:line="360" w:lineRule="auto"/>
        <w:rPr>
          <w:rFonts w:ascii="宋体" w:hAnsi="宋体" w:cs="宋体"/>
          <w:b/>
          <w:bCs/>
          <w:color w:val="000000" w:themeColor="text1"/>
          <w:sz w:val="24"/>
          <w:highlight w:val="none"/>
        </w:rPr>
      </w:pPr>
      <w:r>
        <w:rPr>
          <w:rFonts w:hint="eastAsia" w:ascii="宋体" w:hAnsi="宋体" w:cs="宋体"/>
          <w:b/>
          <w:bCs/>
          <w:color w:val="000000" w:themeColor="text1"/>
          <w:sz w:val="24"/>
          <w:highlight w:val="none"/>
        </w:rPr>
        <w:t xml:space="preserve">（四）首次响应文件开启时间：</w:t>
      </w:r>
      <w:r>
        <w:rPr>
          <w:rFonts w:hint="eastAsia" w:ascii="宋体" w:hAnsi="宋体" w:cs="宋体"/>
          <w:b/>
          <w:bCs/>
          <w:color w:val="000000" w:themeColor="text1"/>
          <w:sz w:val="24"/>
          <w:highlight w:val="none"/>
        </w:rPr>
        <w:t xml:space="preserve">2025年</w:t>
      </w:r>
      <w:r>
        <w:rPr>
          <w:rFonts w:hint="eastAsia" w:ascii="宋体" w:hAnsi="宋体" w:cs="宋体"/>
          <w:b/>
          <w:bCs/>
          <w:color w:val="000000" w:themeColor="text1"/>
          <w:sz w:val="24"/>
          <w:highlight w:val="none"/>
          <w:u w:val="single"/>
        </w:rPr>
        <w:t xml:space="preserve"> 12 </w:t>
      </w:r>
      <w:r>
        <w:rPr>
          <w:rFonts w:hint="eastAsia" w:ascii="宋体" w:hAnsi="宋体" w:cs="宋体"/>
          <w:b/>
          <w:bCs/>
          <w:color w:val="000000" w:themeColor="text1"/>
          <w:sz w:val="24"/>
          <w:highlight w:val="none"/>
        </w:rPr>
        <w:t xml:space="preserve">月</w:t>
      </w:r>
      <w:r>
        <w:rPr>
          <w:rFonts w:hint="eastAsia" w:ascii="宋体" w:hAnsi="宋体" w:cs="宋体"/>
          <w:b/>
          <w:bCs/>
          <w:color w:val="000000" w:themeColor="text1"/>
          <w:sz w:val="24"/>
          <w:highlight w:val="none"/>
          <w:u w:val="single"/>
        </w:rPr>
        <w:t xml:space="preserve"> 1 </w:t>
      </w:r>
      <w:r>
        <w:rPr>
          <w:rFonts w:hint="eastAsia" w:ascii="宋体" w:hAnsi="宋体" w:cs="宋体"/>
          <w:b/>
          <w:bCs/>
          <w:color w:val="000000" w:themeColor="text1"/>
          <w:sz w:val="24"/>
          <w:highlight w:val="none"/>
        </w:rPr>
        <w:t xml:space="preserve">日上午09：30</w:t>
      </w:r>
      <w:r>
        <w:rPr>
          <w:rFonts w:hint="eastAsia" w:ascii="宋体" w:hAnsi="宋体" w:cs="宋体"/>
          <w:b/>
          <w:bCs/>
          <w:color w:val="000000" w:themeColor="text1"/>
          <w:sz w:val="24"/>
          <w:highlight w:val="none"/>
        </w:rPr>
        <w:t xml:space="preserve">。</w:t>
      </w:r>
      <w:r>
        <w:rPr>
          <w:color w:val="000000" w:themeColor="text1"/>
        </w:rP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（五）首次响应文件开启地点：</w:t>
      </w:r>
      <w:r/>
    </w:p>
    <w:p>
      <w:pPr>
        <w:pStyle w:val="909"/>
        <w:spacing w:line="360" w:lineRule="auto"/>
        <w:rPr>
          <w:rFonts w:ascii="宋体" w:hAnsi="宋体" w:cs="宋体"/>
          <w:color w:val="auto"/>
          <w:sz w:val="24"/>
          <w:highlight w:val="none"/>
        </w:rPr>
      </w:pPr>
      <w:r>
        <w:rPr>
          <w:rFonts w:hint="eastAsia" w:ascii="宋体" w:hAnsi="宋体" w:cs="宋体"/>
          <w:color w:val="auto"/>
          <w:sz w:val="24"/>
          <w:highlight w:val="none"/>
        </w:rPr>
        <w:t xml:space="preserve">“苏采云”系统（网址：http://jszfcg.jsczt.cn/）“开标大厅”或进入徐州政府采购网（网址：http://czj.xz.gov.cn/Home/HomeIndex）-业务工作-用户登录，点击“苏采云”进入系统“开标大厅”。</w:t>
      </w:r>
      <w:r/>
    </w:p>
    <w:p>
      <w:pPr>
        <w:pStyle w:val="909"/>
        <w:spacing w:line="360" w:lineRule="auto"/>
        <w:rPr>
          <w:rFonts w:ascii="宋体" w:hAnsi="宋体" w:cs="宋体"/>
          <w:color w:val="auto"/>
          <w:sz w:val="24"/>
          <w:highlight w:val="none"/>
        </w:rPr>
      </w:pPr>
      <w:r>
        <w:rPr>
          <w:rFonts w:hint="eastAsia" w:ascii="宋体" w:hAnsi="宋体" w:cs="宋体"/>
          <w:color w:val="auto"/>
          <w:sz w:val="24"/>
          <w:highlight w:val="none"/>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09"/>
        <w:jc w:val="left"/>
        <w:spacing w:line="360" w:lineRule="auto"/>
        <w:widowControl/>
        <w:rPr>
          <w:rFonts w:ascii="宋体" w:hAnsi="宋体" w:cs="宋体"/>
          <w:color w:val="auto"/>
          <w:sz w:val="24"/>
          <w:highlight w:val="none"/>
        </w:rPr>
        <w:outlineLvl w:val="0"/>
      </w:pPr>
      <w:r>
        <w:rPr>
          <w:rFonts w:hint="eastAsia" w:ascii="宋体" w:hAnsi="宋体" w:cs="宋体"/>
          <w:color w:val="auto"/>
          <w:sz w:val="24"/>
          <w:highlight w:val="none"/>
        </w:rPr>
        <w:t xml:space="preserve">（七）不接受不按要求加盖公章（电子签章）的首次响应文件。电子签章相关要求见“苏采云”系统。</w:t>
      </w:r>
      <w:r/>
    </w:p>
    <w:p>
      <w:pPr>
        <w:pStyle w:val="909"/>
        <w:spacing w:line="360" w:lineRule="auto"/>
        <w:rPr>
          <w:rFonts w:ascii="宋体" w:hAnsi="宋体" w:cs="宋体"/>
          <w:color w:val="auto"/>
          <w:sz w:val="24"/>
          <w:highlight w:val="none"/>
        </w:rPr>
      </w:pPr>
      <w:r>
        <w:rPr>
          <w:rFonts w:hint="eastAsia" w:ascii="宋体" w:hAnsi="宋体" w:cs="宋体"/>
          <w:bCs/>
          <w:color w:val="auto"/>
          <w:sz w:val="24"/>
          <w:highlight w:val="none"/>
        </w:rPr>
        <w:t xml:space="preserve">（八）首次响应文件解密：到达开启时间，</w:t>
      </w:r>
      <w:r>
        <w:rPr>
          <w:rFonts w:hint="eastAsia" w:ascii="宋体" w:hAnsi="宋体" w:cs="宋体"/>
          <w:color w:val="auto"/>
          <w:sz w:val="24"/>
          <w:highlight w:val="none"/>
        </w:rPr>
        <w:t xml:space="preserve">“苏采云”系统自动提取所有响应文件，供应商按采购文件规定方式按时在线解密。本项目采购文件规定的供应商按时在线解密方式：</w:t>
      </w:r>
      <w:r>
        <w:rPr>
          <w:rFonts w:hint="eastAsia" w:ascii="宋体" w:hAnsi="宋体" w:cs="宋体"/>
          <w:b/>
          <w:bCs/>
          <w:color w:val="auto"/>
          <w:sz w:val="24"/>
          <w:highlight w:val="none"/>
        </w:rPr>
        <w:t xml:space="preserve">开启时间后30分钟内</w:t>
      </w:r>
      <w:r>
        <w:rPr>
          <w:rFonts w:hint="eastAsia" w:ascii="宋体" w:hAnsi="宋体" w:cs="宋体"/>
          <w:color w:val="auto"/>
          <w:sz w:val="24"/>
          <w:highlight w:val="none"/>
        </w:rPr>
        <w:t xml:space="preserve">，通过“苏采云”系统（使用“CA数字证书”）解密。</w:t>
      </w:r>
      <w:r/>
    </w:p>
    <w:p>
      <w:pPr>
        <w:pStyle w:val="909"/>
        <w:spacing w:line="360" w:lineRule="auto"/>
        <w:rPr>
          <w:rFonts w:ascii="宋体" w:hAnsi="宋体" w:cs="宋体"/>
          <w:color w:val="auto"/>
          <w:sz w:val="24"/>
          <w:highlight w:val="none"/>
        </w:rPr>
      </w:pPr>
      <w:r>
        <w:rPr>
          <w:rFonts w:hint="eastAsia" w:ascii="宋体" w:hAnsi="宋体" w:cs="宋体"/>
          <w:color w:val="auto"/>
          <w:sz w:val="24"/>
          <w:highlight w:val="none"/>
        </w:rPr>
        <w:t xml:space="preserve">（九）采购文件（后缀名为“.kedt”）、供应商操作手册及政府采购客户端工具可通过“苏采云”系统（网址：</w:t>
      </w:r>
      <w:r>
        <w:rPr>
          <w:color w:val="auto"/>
          <w:highlight w:val="none"/>
        </w:rPr>
        <w:fldChar w:fldCharType="begin"/>
      </w:r>
      <w:r>
        <w:rPr>
          <w:color w:val="auto"/>
          <w:highlight w:val="none"/>
        </w:rPr>
        <w:instrText xml:space="preserve"> HYPERLINK "http://jszfcg.jsczt.cn/" </w:instrText>
      </w:r>
      <w:r>
        <w:rPr>
          <w:color w:val="auto"/>
          <w:highlight w:val="none"/>
        </w:rPr>
        <w:fldChar w:fldCharType="separate"/>
      </w:r>
      <w:r>
        <w:rPr>
          <w:rFonts w:hint="eastAsia" w:ascii="宋体" w:hAnsi="宋体" w:cs="宋体"/>
          <w:color w:val="auto"/>
          <w:sz w:val="24"/>
          <w:highlight w:val="none"/>
        </w:rPr>
        <w:t xml:space="preserve">http://jszfcg.jsczt.cn/</w:t>
      </w:r>
      <w:r>
        <w:rPr>
          <w:rFonts w:hint="eastAsia" w:ascii="宋体" w:hAnsi="宋体" w:cs="宋体"/>
          <w:color w:val="auto"/>
          <w:sz w:val="24"/>
          <w:highlight w:val="none"/>
        </w:rPr>
        <w:fldChar w:fldCharType="end"/>
      </w:r>
      <w:r>
        <w:rPr>
          <w:rFonts w:hint="eastAsia" w:ascii="宋体" w:hAnsi="宋体" w:cs="宋体"/>
          <w:color w:val="auto"/>
          <w:sz w:val="24"/>
          <w:highlight w:val="none"/>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09"/>
        <w:spacing w:line="360" w:lineRule="auto"/>
        <w:rPr>
          <w:rFonts w:ascii="宋体" w:hAnsi="宋体" w:cs="宋体"/>
          <w:color w:val="auto"/>
          <w:sz w:val="24"/>
          <w:highlight w:val="none"/>
        </w:rPr>
      </w:pPr>
      <w:r>
        <w:rPr>
          <w:rFonts w:hint="eastAsia" w:ascii="宋体" w:hAnsi="宋体" w:cs="宋体"/>
          <w:color w:val="auto"/>
          <w:sz w:val="24"/>
          <w:highlight w:val="none"/>
        </w:rPr>
        <w:t xml:space="preserve">（十）相关说明：供应商在“苏采云”系统中提交首次响应文件的时间即为数据电文（响应文件，下同）的发送时间和接收时间。</w:t>
      </w: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十三、响应文件编制要求</w:t>
      </w: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请按照以下要求（包括但不限于以下要求）制作：</w:t>
      </w:r>
      <w:r/>
    </w:p>
    <w:p>
      <w:pPr>
        <w:pStyle w:val="909"/>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（一）基本目录</w:t>
      </w:r>
      <w:r/>
    </w:p>
    <w:p>
      <w:pPr>
        <w:pStyle w:val="909"/>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1、《磋商报价表》（加盖电子签章，政府采购客户端工具输入报价自动生成）；</w:t>
      </w:r>
      <w:r/>
    </w:p>
    <w:p>
      <w:pPr>
        <w:pStyle w:val="909"/>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2、所报产品的环境标志产品认证证书原件的扫描件（如有）。</w:t>
      </w:r>
      <w:r/>
    </w:p>
    <w:p>
      <w:pPr>
        <w:pStyle w:val="909"/>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所报产品属于《环境标志产品政府采购品目清单》（由财政部生态环境部印发）范围的，响应文件中提供（如有）所报产品的国家确定的认证机构出具的、处于有效期之内（即“首次响应文件开启时间”当天在有效期之内）的环境标志产品认证证书原件的扫描件。</w:t>
      </w:r>
      <w:r/>
    </w:p>
    <w:p>
      <w:pPr>
        <w:pStyle w:val="909"/>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  （2）环境标志产品认证证书是否符合要求，采购人评审时查询中国政府采购网（www.ccgp.gov.cn）相关内容后确定。</w:t>
      </w:r>
      <w:r/>
    </w:p>
    <w:p>
      <w:pPr>
        <w:pStyle w:val="909"/>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3、所报产品的节能产品认证证书原件的扫描件（如有）。</w:t>
      </w:r>
      <w:r/>
    </w:p>
    <w:p>
      <w:pPr>
        <w:pStyle w:val="909"/>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注：（1）所报产品属于《节能产品政府采购品目清单》（由财政部 发展改革委印发）范围的，响应文件中提供（如有）所报产品的国家确定的认证机构出具的、处于有效期之内（即“首次响应文件开启时间”当天在有效期之内）的节能产品认证证书原件的扫描件。</w:t>
      </w:r>
      <w:r/>
    </w:p>
    <w:p>
      <w:pPr>
        <w:pStyle w:val="909"/>
        <w:ind w:firstLine="482"/>
        <w:spacing w:line="360" w:lineRule="auto"/>
        <w:rPr>
          <w:rFonts w:ascii="宋体" w:hAnsi="宋体" w:cs="宋体"/>
          <w:b/>
          <w:color w:val="auto"/>
          <w:sz w:val="24"/>
          <w:highlight w:val="none"/>
        </w:rPr>
      </w:pPr>
      <w:r>
        <w:rPr>
          <w:rFonts w:hint="eastAsia" w:ascii="宋体" w:hAnsi="宋体" w:cs="宋体"/>
          <w:bCs/>
          <w:color w:val="auto"/>
          <w:sz w:val="24"/>
          <w:highlight w:val="none"/>
        </w:rPr>
        <w:t xml:space="preserve">（2）节能产品认证证书是否符合要求，采购人评审时查询中国政府采购网（www.ccgp.gov.cn）相关内容后确定。</w:t>
      </w:r>
      <w:r/>
    </w:p>
    <w:p>
      <w:pPr>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（二）资格条件（1～6项必须提供，否则响应无效）</w:t>
      </w:r>
      <w:r/>
    </w:p>
    <w:p>
      <w:pPr>
        <w:pStyle w:val="909"/>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1、提供合法有效的法人的营业执照(或事业单位法人证书)的扫描件或其他组织的合法有效的证书证明文件的扫描件；</w:t>
      </w:r>
      <w:r/>
    </w:p>
    <w:p>
      <w:pPr>
        <w:pStyle w:val="909"/>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w:t>
      </w:r>
      <w:r>
        <w:rPr>
          <w:rFonts w:hint="eastAsia" w:ascii="宋体" w:hAnsi="宋体" w:cs="宋体"/>
          <w:bCs/>
          <w:color w:val="auto"/>
          <w:sz w:val="24"/>
          <w:highlight w:val="none"/>
        </w:rPr>
        <w:t xml:space="preserve">、财务状况报告，提供供应商本项目“首次响应文件提交的截止时间”前6个月内基本开户银行出具的有效的资信证明扫描件；或财政部门认可的政府采购专业担保机构出具的有效的投标担保函扫描件；或供应商上一年度（2024年）财务审计报告扫描件（应包括审计报告正文、资产负债表、现金流量表、利润表）；或至少提供： （1）供应商的“首次响应文件提交的截止时间”前6个月内任何1月资产负债表的扫描件1份 （2）供应商的“首次响应文件提交的截止时间”前6个月内任何1月（不含“首次响应文件提交的截止时间”当月）的利润表月报表的扫描件1份</w:t>
      </w:r>
      <w:r/>
    </w:p>
    <w:p>
      <w:pPr>
        <w:pStyle w:val="909"/>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3、供应商的提交首次响应文件时间前6个月内任何1月的依法缴纳税收和社会保障资金的相关材料扫描件各一份；（或依法免税或不需要缴纳社会保障资金的供应商应提供相应其依法免税或不需要缴纳社会保障资金的证明文件扫描件。）</w:t>
      </w:r>
      <w:r/>
    </w:p>
    <w:p>
      <w:pPr>
        <w:pStyle w:val="909"/>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4、具备履行合同所必需的设备和专业技术能力的证明材料，即响应文件中提供《具备履行合同所必需的设备和专业技术能力的书面声明》（加盖电子签章，格式见《磋商文件》附件）；</w:t>
      </w:r>
      <w:r/>
    </w:p>
    <w:p>
      <w:pPr>
        <w:pStyle w:val="909"/>
        <w:ind w:firstLine="482"/>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5、供应商参加政府采购活动前3年内在经营活动中没有重大违法记录的书面声明（加盖电子签章，格式见《磋商文件》附件）；</w:t>
      </w:r>
      <w:r/>
    </w:p>
    <w:p>
      <w:pPr>
        <w:pStyle w:val="909"/>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6、特定资格条件：供应商须具有有效的城乡规划编制甲级资质，提供证书扫描件加盖公章。</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（三）符合条件（必须提供，否则响应无效）</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1、《磋商报价表》（加盖电子签章，格式见《磋商文件》附件，必须提供，否则响应无效）；</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2、《分项价格表》（加盖电子签章，格式《磋商文件》附件）</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3、《承诺书》（加盖电子签章，格式见《磋商文件》附件）；</w:t>
      </w:r>
      <w:r/>
    </w:p>
    <w:p>
      <w:pPr>
        <w:ind w:firstLine="482"/>
        <w:spacing w:line="360" w:lineRule="auto"/>
        <w:rPr>
          <w:rFonts w:ascii="宋体" w:hAnsi="宋体" w:cs="宋体"/>
          <w:b/>
          <w:bCs/>
          <w:color w:val="auto"/>
          <w:sz w:val="24"/>
          <w:highlight w:val="none"/>
        </w:rPr>
      </w:pPr>
      <w:r/>
      <w:bookmarkStart w:id="2" w:name="OLE_LINK1"/>
      <w:r>
        <w:rPr>
          <w:rFonts w:hint="eastAsia" w:ascii="宋体" w:hAnsi="宋体" w:cs="宋体"/>
          <w:b/>
          <w:bCs/>
          <w:color w:val="auto"/>
          <w:sz w:val="24"/>
          <w:highlight w:val="none"/>
        </w:rPr>
        <w:t xml:space="preserve">4、</w:t>
      </w:r>
      <w:bookmarkEnd w:id="2"/>
      <w:r>
        <w:rPr>
          <w:rFonts w:hint="eastAsia" w:ascii="宋体" w:hAnsi="宋体" w:cs="宋体"/>
          <w:b/>
          <w:bCs/>
          <w:color w:val="auto"/>
          <w:sz w:val="24"/>
          <w:highlight w:val="none"/>
        </w:rPr>
        <w:t xml:space="preserve">授权委托书（提供原件的扫描件，格式见《磋商文件》附件）；</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5、偏离表（加盖电子签章，格式见《磋商文件》附件）；</w:t>
      </w:r>
      <w:r/>
    </w:p>
    <w:p>
      <w:pPr>
        <w:ind w:firstLine="482"/>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（四）综合评审评分项</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一、技术部分：</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1、项目的理解</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2、现状分析</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3、项目规划方案</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4、规划成果内容结构合理性</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5、重难点分析及处理措施</w:t>
      </w:r>
      <w:r>
        <w:rPr>
          <w:rFonts w:hint="eastAsia" w:ascii="宋体" w:hAnsi="宋体" w:cs="宋体"/>
          <w:color w:val="auto"/>
          <w:sz w:val="24"/>
          <w:highlight w:val="none"/>
        </w:rPr>
        <w:t xml:space="preserve">（要求见《磋商文件》附件1、《评分细则》及附件：2、《项目要求（采购需求）》）。</w:t>
      </w:r>
      <w:r/>
    </w:p>
    <w:p>
      <w:pPr>
        <w:pStyle w:val="1246"/>
        <w:ind w:firstLine="482"/>
        <w:spacing w:line="400" w:lineRule="exact"/>
        <w:widowControl/>
        <w:rPr>
          <w:rFonts w:ascii="宋体" w:hAnsi="宋体" w:cs="宋体"/>
          <w:color w:val="auto"/>
          <w:sz w:val="24"/>
          <w:highlight w:val="none"/>
        </w:rPr>
      </w:pPr>
      <w:r>
        <w:rPr>
          <w:rFonts w:hint="eastAsia" w:ascii="宋体" w:hAnsi="宋体" w:cs="宋体"/>
          <w:b/>
          <w:bCs/>
          <w:color w:val="auto"/>
          <w:sz w:val="24"/>
          <w:highlight w:val="none"/>
        </w:rPr>
        <w:t xml:space="preserve">6</w:t>
      </w:r>
      <w:r>
        <w:rPr>
          <w:rFonts w:hint="eastAsia" w:ascii="宋体" w:hAnsi="宋体" w:cs="宋体"/>
          <w:b/>
          <w:bCs/>
          <w:color w:val="auto"/>
          <w:sz w:val="24"/>
          <w:szCs w:val="24"/>
          <w:highlight w:val="none"/>
        </w:rPr>
        <w:t xml:space="preserve">、质量保障措施</w:t>
      </w:r>
      <w:r>
        <w:rPr>
          <w:rFonts w:hint="eastAsia" w:ascii="宋体" w:hAnsi="宋体" w:cs="宋体"/>
          <w:color w:val="auto"/>
          <w:sz w:val="24"/>
          <w:highlight w:val="none"/>
        </w:rPr>
        <w:t xml:space="preserve">（要求见《磋商文件》附件1、《评分细则》及附件：2、《项目要求（采购需求）》）。</w:t>
      </w:r>
      <w:r/>
    </w:p>
    <w:p>
      <w:pPr>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7、后续服务承诺</w:t>
      </w:r>
      <w:r>
        <w:rPr>
          <w:rFonts w:hint="eastAsia" w:ascii="宋体" w:hAnsi="宋体" w:cs="宋体"/>
          <w:color w:val="auto"/>
          <w:sz w:val="24"/>
          <w:highlight w:val="none"/>
        </w:rPr>
        <w:t xml:space="preserve">（要求见《磋商文件》附件1、《评分细则》及附件：2、《项目要求（采购需求）》）。</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二、商务部分：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1、供应商业绩（要求见《磋商文件》附件1、《评分细则》）；</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2、供应商评价（要求见《磋商文件》附件1、《评分细则》）；</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3、人员配备（要求见《磋商文件》附件1、《评分细则》）；</w:t>
      </w:r>
      <w:r/>
    </w:p>
    <w:p>
      <w:pPr>
        <w:ind w:firstLine="482"/>
        <w:spacing w:line="360" w:lineRule="auto"/>
        <w:rPr>
          <w:rFonts w:ascii="宋体" w:hAnsi="宋体" w:cs="宋体"/>
          <w:color w:val="auto"/>
          <w:sz w:val="24"/>
          <w:highlight w:val="none"/>
        </w:rPr>
      </w:pPr>
      <w:r>
        <w:rPr>
          <w:rFonts w:hint="eastAsia" w:ascii="宋体" w:hAnsi="宋体" w:cs="宋体"/>
          <w:color w:val="auto"/>
          <w:sz w:val="24"/>
          <w:highlight w:val="none"/>
        </w:rPr>
        <w:t xml:space="preserve">4、评分细则中评分得分需提供的相关证明文件扫描件或供应商认为需要提供的其他资料扫描件。</w:t>
      </w:r>
      <w:r/>
    </w:p>
    <w:p>
      <w:pPr>
        <w:pStyle w:val="909"/>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（五）价格折扣文件格式</w:t>
      </w:r>
      <w:r/>
    </w:p>
    <w:p>
      <w:pPr>
        <w:ind w:firstLine="480"/>
        <w:spacing w:line="360" w:lineRule="auto"/>
        <w:widowControl/>
        <w:rPr>
          <w:rFonts w:ascii="宋体" w:hAnsi="宋体" w:cs="宋体"/>
          <w:b/>
          <w:bCs/>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4"/>
          <w:highlight w:val="none"/>
        </w:rPr>
        <w:t xml:space="preserve">1、企业报价折扣证明：</w:t>
      </w:r>
      <w:r>
        <w:rPr>
          <w:rFonts w:hint="eastAsia" w:ascii="宋体" w:hAnsi="宋体" w:cs="宋体"/>
          <w:b/>
          <w:bCs/>
          <w:color w:val="auto"/>
          <w:sz w:val="24"/>
          <w:highlight w:val="none"/>
        </w:rPr>
        <w:t xml:space="preserve">《中小企业声明函》（加盖电子签章，填写完整，如不填写完整，视为无效，格式见《磋商文件》附件）。</w:t>
      </w:r>
      <w:r/>
    </w:p>
    <w:p>
      <w:pPr>
        <w:ind w:firstLine="480"/>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
          <w:bCs/>
          <w:color w:val="auto"/>
          <w:sz w:val="24"/>
          <w:highlight w:val="none"/>
        </w:rPr>
        <w:t xml:space="preserve">注：中小微企业，应当同时符合以下条件</w:t>
      </w:r>
      <w:r>
        <w:rPr>
          <w:rFonts w:hint="eastAsia" w:ascii="宋体" w:hAnsi="宋体" w:cs="宋体"/>
          <w:color w:val="auto"/>
          <w:sz w:val="24"/>
          <w:highlight w:val="none"/>
        </w:rPr>
        <w:t xml:space="preserve">：</w:t>
      </w:r>
      <w:r/>
    </w:p>
    <w:p>
      <w:pPr>
        <w:ind w:firstLine="480"/>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中小企业需满足的条件具体以《政府采购促进中小企业发展管理办法》（财库﹝2020﹞46 号）和《工业和信息化部、国家统计局、国家发展和改革委员会、财政部关于印发中小企业划型标准规定的通知》（工信部联企业[2011]300号）的规定为准。</w:t>
      </w:r>
      <w:r/>
    </w:p>
    <w:p>
      <w:pPr>
        <w:ind w:firstLine="480"/>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供应商为残疾人福利性单位的，视同小微企业，提供《残疾人福利性单位声明函》（电子签章，格式见附件》）。具体以《关于促进残疾人就业政府采购政策的通知》（财库〔2017〕141号）的规定为准。</w:t>
      </w:r>
      <w:r/>
    </w:p>
    <w:p>
      <w:pPr>
        <w:ind w:firstLine="480"/>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highlight w:val="none"/>
        </w:rPr>
        <w:t xml:space="preserve">供应商为监狱企业的，视同小微企业，提供省级以上监狱管理局、戒毒管理局（含新疆生产建设兵团）出具的属于监狱企业的证明文件扫描件。具体以《财政部司法部关于政府采购支持监狱企业发展有关问题的通知》（财库〔2014〕68号）的规定为准。</w:t>
      </w:r>
      <w:r/>
    </w:p>
    <w:p>
      <w:pPr>
        <w:ind w:firstLine="480"/>
        <w:spacing w:line="360" w:lineRule="auto"/>
        <w:widowControl/>
        <w:rPr>
          <w:rFonts w:ascii="宋体" w:hAnsi="宋体" w:cs="宋体"/>
          <w:color w:val="auto"/>
          <w:sz w:val="24"/>
          <w:highlight w:val="none"/>
        </w:rPr>
        <w:pBdr>
          <w:top w:val="none" w:color="000000" w:sz="0" w:space="0"/>
          <w:left w:val="none" w:color="000000" w:sz="0" w:space="0"/>
          <w:bottom w:val="none" w:color="000000" w:sz="0" w:space="0"/>
          <w:right w:val="none" w:color="000000" w:sz="0" w:space="0"/>
        </w:pBdr>
      </w:pPr>
      <w:r>
        <w:rPr>
          <w:rFonts w:hint="eastAsia" w:ascii="宋体" w:hAnsi="宋体" w:cs="宋体"/>
          <w:bCs/>
          <w:color w:val="auto"/>
          <w:sz w:val="24"/>
          <w:highlight w:val="none"/>
        </w:rPr>
        <w:t xml:space="preserve">根据财库〔2020〕46号、苏财购〔2022〕45号和徐财购〔2022〕14号文件规定本项目小微企业报价应给予相应的的折扣，具体折扣标准详见《评分细则》。</w:t>
      </w: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（六）提交的首次响应文件的密封、签署、盖章要求：</w:t>
      </w: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1、密封（加密）要求：</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2、签署要求：见《磋商文件》第九章附件中相关格式要求</w:t>
      </w:r>
      <w:r>
        <w:rPr>
          <w:rFonts w:hint="eastAsia" w:ascii="宋体" w:hAnsi="宋体" w:cs="宋体"/>
          <w:b/>
          <w:bCs/>
          <w:color w:val="auto"/>
          <w:sz w:val="24"/>
          <w:highlight w:val="none"/>
        </w:rPr>
        <w:t xml:space="preserve">（特别提醒：竞争性磋商文件中如需“被授权代表签字或盖章”，供应商可打印成文档，签字或盖章后再扫描上传，最后再电子签章）。</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3、盖章要求：见《磋商文件》第九章附件中相关格式要求。供应商须通过“苏采云”系统提供的政府采购客户端工具（使用“CA数字证书”）加盖电子签章。</w:t>
      </w: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（七）通过“苏采云”系统提交政府采购客户端工具导出加密的响应文件（后缀名为zip）。响应文件不得超过150M！ </w:t>
      </w: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注：供应商应当按照《磋商文件》的要求编制响应文件，并对其提交的响应文件的真实性、合法性承担法律责任。</w:t>
      </w:r>
      <w:r/>
    </w:p>
    <w:p>
      <w:pPr>
        <w:pStyle w:val="909"/>
        <w:ind w:firstLine="478"/>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第四章 磋商相关说明</w:t>
      </w: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十四、磋商相关说明</w:t>
      </w: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（一）磋商要求</w:t>
      </w:r>
      <w:r/>
    </w:p>
    <w:p>
      <w:pPr>
        <w:pStyle w:val="90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1、被邀请参与磋商的供应商需按本竞争性磋商文件要求的截止时间、方式（地点）提交首次响应文件，同时派人通过“苏采云”系统在“开标大厅”等待磋商。</w:t>
      </w:r>
      <w:r/>
    </w:p>
    <w:p>
      <w:pPr>
        <w:pStyle w:val="90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2、供应商可通过CA数字证书，在首次响应文件开启时间后，使用CA数字证书在规定时间内解密各自响应文件。</w:t>
      </w:r>
      <w:r/>
    </w:p>
    <w:p>
      <w:pPr>
        <w:pStyle w:val="909"/>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3、供应商的授权代表或法人须全程守候在“苏采云”系统开标大厅，并确保视频设备正常使用。授权代表或法人须携带授权委托书原件及身份证原件，经磋商小组核查后参与磋商活动。</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4、磋商顺序按照“苏采云”系统内供应商电子标书显示先后时间进行。</w:t>
      </w:r>
      <w:r/>
    </w:p>
    <w:p>
      <w:pPr>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5、磋商方式：本次磋商采用“苏采云”系统中的视频会议，供应商自行选择任意地点参加远程磋商会议。请供应商在磋商前等候在开标大厅，随时接听磋商小组发出的磋商视频邀请（所有邀请等待时间2分钟，2分钟内所邀请供应商无响应，视同放弃磋商的权利，由解密顺序下一家进行磋商，不再后补）。</w:t>
      </w:r>
      <w:r/>
    </w:p>
    <w:p>
      <w:pPr>
        <w:pStyle w:val="90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6、未在规定时间内进行答疑澄清的，视同放弃澄清。</w:t>
      </w:r>
      <w:r/>
    </w:p>
    <w:p>
      <w:pPr>
        <w:pStyle w:val="909"/>
        <w:ind w:firstLine="482"/>
        <w:spacing w:line="360" w:lineRule="auto"/>
        <w:rPr>
          <w:rFonts w:ascii="宋体" w:hAnsi="宋体" w:cs="宋体"/>
          <w:b/>
          <w:color w:val="auto"/>
          <w:sz w:val="24"/>
          <w:highlight w:val="none"/>
        </w:rPr>
      </w:pPr>
      <w:r>
        <w:rPr>
          <w:rFonts w:hint="eastAsia" w:ascii="宋体" w:hAnsi="宋体" w:cs="宋体"/>
          <w:b/>
          <w:color w:val="auto"/>
          <w:sz w:val="24"/>
          <w:highlight w:val="none"/>
        </w:rPr>
        <w:t xml:space="preserve">7、未在规定时间内进行报价的，视为响应无效。</w:t>
      </w:r>
      <w:r/>
    </w:p>
    <w:p>
      <w:pPr>
        <w:pStyle w:val="909"/>
        <w:ind w:firstLine="480"/>
        <w:spacing w:line="360" w:lineRule="auto"/>
        <w:rPr>
          <w:rFonts w:ascii="宋体" w:hAnsi="宋体" w:cs="宋体"/>
          <w:bCs/>
          <w:color w:val="auto"/>
          <w:sz w:val="24"/>
          <w:highlight w:val="none"/>
        </w:rPr>
      </w:pPr>
      <w:r>
        <w:rPr>
          <w:rFonts w:hint="eastAsia" w:ascii="宋体" w:hAnsi="宋体" w:cs="宋体"/>
          <w:bCs/>
          <w:color w:val="auto"/>
          <w:sz w:val="24"/>
          <w:highlight w:val="none"/>
        </w:rPr>
        <w:t xml:space="preserve">8、被邀请参与磋商的供应商如未按上述磋商要求执行，视同放弃磋商的权利。</w:t>
      </w: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（二）评审程序</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经磋商确定最终采购需求和提交最后报价的供应商后，由磋商小组采用综合评分法对提交最后报价的供应商的响应文件和最后报价进行综合评分。</w:t>
      </w:r>
      <w:r/>
    </w:p>
    <w:p>
      <w:pPr>
        <w:pStyle w:val="909"/>
        <w:spacing w:line="360" w:lineRule="auto"/>
        <w:rPr>
          <w:rFonts w:hint="default" w:ascii="宋体" w:hAnsi="宋体" w:eastAsia="宋体" w:cs="宋体"/>
          <w:color w:val="auto"/>
          <w:sz w:val="24"/>
          <w:highlight w:val="none"/>
          <w:lang w:val="en-US" w:eastAsia="zh-CN"/>
        </w:rPr>
      </w:pPr>
      <w:r>
        <w:rPr>
          <w:rFonts w:hint="eastAsia" w:ascii="宋体" w:hAnsi="宋体" w:cs="宋体"/>
          <w:color w:val="auto"/>
          <w:sz w:val="24"/>
          <w:highlight w:val="none"/>
        </w:rPr>
        <w:t xml:space="preserve">磋商小组应当根据综合评分情况，按照评审得分由高到低顺序推荐成交候选供应商，并编写评审报告。评审得分相同的，按照最后报价由低到高的顺序推荐。评审得分且最后报价相同的，按照</w:t>
      </w: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方案优劣顺序推荐。</w:t>
      </w:r>
      <w:r>
        <w:rPr>
          <w:rFonts w:hint="eastAsia" w:ascii="宋体" w:hAnsi="宋体" w:cs="宋体"/>
          <w:color w:val="auto"/>
          <w:sz w:val="24"/>
          <w:highlight w:val="none"/>
          <w:lang w:val="en-US" w:eastAsia="zh-CN"/>
        </w:rPr>
        <w:t xml:space="preserve">服务方案也相同的，现场抽签确定。</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相关内容和要求见：《中华人民共和国政府采购法》、《中华人民共和国政府采购法实施条例》及《政府采购竞争性磋商采购方式管理暂行办法》</w:t>
      </w: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 (三) 查询及使用供应商信用记录</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1、由采购人查询信用信息。</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2、查询渠道包括：</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（1）“信用中国”网（www.creditchina.gov.cn）；</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（2）“中国政府采购网”（www.ccgp.gov.cn）；</w:t>
      </w:r>
      <w:r/>
    </w:p>
    <w:p>
      <w:pPr>
        <w:pStyle w:val="1106"/>
        <w:ind w:firstLine="480"/>
        <w:spacing w:line="360" w:lineRule="auto"/>
        <w:rPr>
          <w:rStyle w:val="1036"/>
          <w:rFonts w:ascii="宋体" w:hAnsi="宋体" w:cs="宋体"/>
          <w:color w:val="auto"/>
          <w:sz w:val="24"/>
          <w:highlight w:val="none"/>
        </w:rPr>
      </w:pPr>
      <w:r>
        <w:rPr>
          <w:rStyle w:val="1036"/>
          <w:rFonts w:hint="eastAsia" w:ascii="宋体" w:hAnsi="宋体" w:cs="宋体"/>
          <w:color w:val="auto"/>
          <w:sz w:val="24"/>
          <w:highlight w:val="none"/>
        </w:rPr>
        <w:t xml:space="preserve">（3）“信用江苏”网（http://credit.jiangsu.gov.cn/）；</w:t>
      </w:r>
      <w:r/>
    </w:p>
    <w:p>
      <w:pPr>
        <w:pStyle w:val="1106"/>
        <w:ind w:firstLine="480"/>
        <w:spacing w:line="360" w:lineRule="auto"/>
        <w:rPr>
          <w:rFonts w:ascii="宋体" w:hAnsi="宋体" w:cs="宋体"/>
          <w:color w:val="auto"/>
          <w:sz w:val="24"/>
          <w:highlight w:val="none"/>
        </w:rPr>
      </w:pPr>
      <w:r>
        <w:rPr>
          <w:rStyle w:val="1036"/>
          <w:rFonts w:hint="eastAsia" w:ascii="宋体" w:hAnsi="宋体" w:cs="宋体"/>
          <w:color w:val="auto"/>
          <w:sz w:val="24"/>
          <w:highlight w:val="none"/>
        </w:rPr>
        <w:t xml:space="preserve">（4）“信用中国(江苏徐州)”网（http://www.xuzhoucredit.gov.cn）。</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3、截止时点（查询环节）：首次响应文件开启后资格审查结束前。</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4、信用信息查询记录和证据留存的具体方式：</w:t>
      </w:r>
      <w:r/>
    </w:p>
    <w:p>
      <w:pPr>
        <w:pStyle w:val="909"/>
        <w:ind w:firstLine="482"/>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网页截屏打印，与其他采购文件一并保存。</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5、信用信息的使用规则：</w:t>
      </w:r>
      <w:r/>
    </w:p>
    <w:p>
      <w:pPr>
        <w:pStyle w:val="909"/>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09"/>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十五、评审方法和评审标准</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1、评审方法：综合评分法。</w:t>
      </w:r>
      <w:r/>
    </w:p>
    <w:p>
      <w:pPr>
        <w:pStyle w:val="909"/>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2、评审标准：详见《磋商文件》附件1、《评分细则》。</w:t>
      </w:r>
      <w:r/>
    </w:p>
    <w:p>
      <w:pPr>
        <w:ind w:left="2" w:right="29"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3、实施政府采购异常低价审查的有关要求：</w:t>
      </w:r>
      <w:r/>
    </w:p>
    <w:p>
      <w:pPr>
        <w:ind w:left="2" w:right="29"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（一）评审过程中出现下列情形之一的，评审委员会应当启动异常低价投标（响应）审查程序：</w:t>
      </w:r>
      <w:r/>
    </w:p>
    <w:p>
      <w:pPr>
        <w:ind w:left="2" w:right="29"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1．投标（响应）报价低于采购项目预算50%的，即投标（响应）报价＜采购项目预算×50%；</w:t>
      </w:r>
      <w:r/>
    </w:p>
    <w:p>
      <w:pPr>
        <w:ind w:left="2" w:right="29"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2．投标（响应）报价低于采购项目最高限价45％的，即投标（响应）报价＜采购项目最高限价×45%；</w:t>
      </w:r>
      <w:r/>
    </w:p>
    <w:p>
      <w:pPr>
        <w:ind w:left="2" w:right="29"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3．评审委员会认定的供应商报价过低、有可能影响产品质量或者不能诚信履约的其他情形。</w:t>
      </w:r>
      <w:r/>
    </w:p>
    <w:p>
      <w:pPr>
        <w:ind w:left="2" w:right="29"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审查相关情况应当在评审报告中进行记录。</w:t>
      </w:r>
      <w:r/>
    </w:p>
    <w:p>
      <w:pPr>
        <w:ind w:left="2" w:right="29" w:firstLine="480"/>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三）对报价异常低且经评审委员会启动相关审查机制后仍中标或成交的供应商，采购人要重点关注其履约能力、履约承诺、实际履约情况等。如供应商在中标或成交后无正当理由拒不签订政府采购合同，采购人应将相关情况书面报送同级财政部门，由财政部门依法追究其法律责任；如供应商在签订政府采购合同后不严格履行合同，采购人应按照政府采购合同约定追究供应商违约责任，并将不良履约行为书面报送同级财政部门。</w:t>
      </w:r>
      <w:r/>
    </w:p>
    <w:p>
      <w:pPr>
        <w:ind w:left="2" w:right="29" w:firstLine="480"/>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文件。</w:t>
      </w:r>
      <w:r/>
    </w:p>
    <w:p>
      <w:pPr>
        <w:pStyle w:val="910"/>
        <w:rPr>
          <w:rFonts w:ascii="宋体" w:hAnsi="宋体" w:cs="宋体"/>
          <w:color w:val="auto"/>
          <w:highlight w:val="none"/>
          <w:lang w:eastAsia="zh-CN"/>
        </w:rPr>
      </w:pPr>
      <w:r>
        <w:rPr>
          <w:rFonts w:ascii="宋体" w:hAnsi="宋体" w:cs="宋体"/>
          <w:color w:val="auto"/>
          <w:highlight w:val="none"/>
          <w:lang w:eastAsia="zh-CN"/>
        </w:rPr>
      </w:r>
      <w:r/>
    </w:p>
    <w:p>
      <w:pPr>
        <w:pStyle w:val="909"/>
        <w:ind w:right="29"/>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十六、</w:t>
      </w:r>
      <w:r>
        <w:rPr>
          <w:rFonts w:hint="eastAsia" w:ascii="宋体" w:hAnsi="宋体" w:cs="宋体"/>
          <w:color w:val="auto"/>
          <w:sz w:val="24"/>
          <w:highlight w:val="none"/>
        </w:rPr>
        <w:t xml:space="preserve">磋商过程中可能实质性变动的内容：在磋商过程中，磋商小组可以根据《磋商文件》和磋商情况实质性变动采购需求中的技术、服务要求以及拟签订的合同文本。</w:t>
      </w:r>
      <w:r/>
    </w:p>
    <w:p>
      <w:pPr>
        <w:pStyle w:val="909"/>
        <w:ind w:right="29"/>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十七、</w:t>
      </w:r>
      <w:r>
        <w:rPr>
          <w:rFonts w:hint="eastAsia" w:ascii="宋体" w:hAnsi="宋体" w:cs="宋体"/>
          <w:color w:val="auto"/>
          <w:sz w:val="24"/>
          <w:highlight w:val="none"/>
        </w:rPr>
        <w:t xml:space="preserve">采购人有权对供应商的响应文件的真实性进行核实，如供应商不能在采购人规定的时间内向采购人提供有效的证明文件，将被采购人视为放弃中标（成交）资格。</w:t>
      </w:r>
      <w:r/>
    </w:p>
    <w:p>
      <w:pPr>
        <w:pStyle w:val="909"/>
        <w:ind w:left="2" w:right="29" w:firstLine="480"/>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pStyle w:val="909"/>
        <w:ind w:left="2" w:right="29" w:firstLine="480"/>
        <w:jc w:val="center"/>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第五章 确定成交供应商及合同签订等</w:t>
      </w:r>
      <w:r/>
    </w:p>
    <w:p>
      <w:pPr>
        <w:pStyle w:val="909"/>
        <w:ind w:right="29"/>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十八、</w:t>
      </w:r>
      <w:r>
        <w:rPr>
          <w:rFonts w:hint="eastAsia" w:ascii="宋体" w:hAnsi="宋体" w:cs="宋体"/>
          <w:color w:val="auto"/>
          <w:sz w:val="24"/>
          <w:highlight w:val="none"/>
        </w:rPr>
        <w:t xml:space="preserve">采购人应当在收到评审报告后5个工作日内，从评审报告提出的成交候选供应商中，按照排序由高到低的原则确定成交供应商，如排序相同的，由采购人确定成交供应商。在省级以上财政部门指定的政府采购信息发布媒体上公告成交结果，公告标的的基本概况为成交供应商的《磋商报价表》（最后报价）。</w:t>
      </w:r>
      <w:r/>
    </w:p>
    <w:p>
      <w:pPr>
        <w:pStyle w:val="909"/>
        <w:jc w:val="left"/>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十九、采购人与成交供应商应当在成交通知书发出之日起30日内，</w:t>
      </w:r>
      <w:r>
        <w:rPr>
          <w:rFonts w:hint="eastAsia" w:ascii="宋体" w:hAnsi="宋体" w:cs="宋体"/>
          <w:color w:val="auto"/>
          <w:sz w:val="24"/>
          <w:highlight w:val="none"/>
        </w:rPr>
        <w:t xml:space="preserve">按照《磋商文件》确定的合同文本以及采购标的、规格型号、采购金额、采购数量、技术和服务要求等事项签订政府采购合同。</w:t>
      </w:r>
      <w:r/>
    </w:p>
    <w:p>
      <w:pPr>
        <w:pStyle w:val="909"/>
        <w:ind w:firstLine="482"/>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特别说明：</w:t>
      </w:r>
      <w:r>
        <w:rPr>
          <w:rFonts w:hint="eastAsia" w:ascii="宋体" w:hAnsi="宋体" w:cs="宋体"/>
          <w:color w:val="auto"/>
          <w:sz w:val="24"/>
          <w:highlight w:val="none"/>
        </w:rPr>
        <w:t xml:space="preserve">按照《政府采购法》及其实施条例以及相关规定，中标或者成交后无正当理由拒不与采购人签订政府采购合同的, 在一至三年内禁止参加政府采购活动，列入政府采购严重违法失信行为记录名单。</w:t>
      </w:r>
      <w:r/>
    </w:p>
    <w:p>
      <w:pPr>
        <w:pStyle w:val="909"/>
        <w:jc w:val="left"/>
        <w:spacing w:line="360" w:lineRule="auto"/>
        <w:rPr>
          <w:rFonts w:ascii="宋体" w:hAnsi="宋体" w:cs="宋体"/>
          <w:color w:val="auto"/>
          <w:sz w:val="24"/>
          <w:highlight w:val="none"/>
        </w:rPr>
      </w:pPr>
      <w:r>
        <w:rPr>
          <w:rFonts w:hint="eastAsia" w:ascii="宋体" w:hAnsi="宋体" w:cs="宋体"/>
          <w:b/>
          <w:bCs/>
          <w:color w:val="auto"/>
          <w:sz w:val="24"/>
          <w:highlight w:val="none"/>
        </w:rPr>
        <w:t xml:space="preserve">二十、</w:t>
      </w:r>
      <w:r>
        <w:rPr>
          <w:rFonts w:hint="eastAsia" w:ascii="宋体" w:hAnsi="宋体" w:cs="宋体"/>
          <w:color w:val="auto"/>
          <w:sz w:val="24"/>
          <w:highlight w:val="none"/>
        </w:rPr>
        <w:t xml:space="preserve">签订合同前，成交供应商必须向采购人提交其响应文件中所有扫描件的原件，采购人核查无误后，签订合同。如成交供应商人不能在采购人规定的时间内向采购人提供原件，将被采购人视为放弃中标（成交）资格。</w:t>
      </w:r>
      <w:r/>
    </w:p>
    <w:p>
      <w:pPr>
        <w:pStyle w:val="909"/>
        <w:ind w:firstLine="480"/>
        <w:jc w:val="center"/>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pStyle w:val="909"/>
        <w:ind w:firstLine="480"/>
        <w:jc w:val="cente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第六章 磋商文件的澄清或者修改</w:t>
      </w:r>
      <w:r/>
    </w:p>
    <w:p>
      <w:pPr>
        <w:pStyle w:val="909"/>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二十一、《磋商文件》的澄清或者修改</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形式通知所有获取《磋商文件》的供应商。发布本项目的“更正公告”后采购代理机构已尽通知义务。敬请各所有获取《磋商文件》的供应商关注本项目的“更正公告。</w:t>
      </w:r>
      <w:r/>
    </w:p>
    <w:p>
      <w:pPr>
        <w:jc w:val="center"/>
        <w:spacing w:line="360" w:lineRule="auto"/>
        <w:widowControl/>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widowControl/>
        <w:rPr>
          <w:rFonts w:ascii="宋体" w:hAnsi="宋体" w:cs="宋体"/>
          <w:color w:val="auto"/>
          <w:sz w:val="24"/>
          <w:highlight w:val="none"/>
        </w:rPr>
      </w:pPr>
      <w:r>
        <w:rPr>
          <w:rFonts w:hint="eastAsia" w:ascii="宋体" w:hAnsi="宋体" w:cs="宋体"/>
          <w:b/>
          <w:bCs/>
          <w:color w:val="auto"/>
          <w:sz w:val="24"/>
          <w:highlight w:val="none"/>
        </w:rPr>
        <w:t xml:space="preserve">第七章 询问和质疑</w:t>
      </w:r>
      <w:r/>
    </w:p>
    <w:p>
      <w:pPr>
        <w:jc w:val="left"/>
        <w:spacing w:line="360" w:lineRule="auto"/>
        <w:widowControl/>
        <w:rPr>
          <w:rFonts w:ascii="宋体" w:hAnsi="宋体" w:cs="宋体"/>
          <w:b/>
          <w:bCs/>
          <w:color w:val="auto"/>
          <w:sz w:val="24"/>
          <w:highlight w:val="none"/>
        </w:rPr>
      </w:pPr>
      <w:r>
        <w:rPr>
          <w:rFonts w:hint="eastAsia" w:ascii="宋体" w:hAnsi="宋体" w:cs="宋体"/>
          <w:b/>
          <w:bCs/>
          <w:color w:val="auto"/>
          <w:sz w:val="24"/>
          <w:highlight w:val="none"/>
        </w:rPr>
        <w:t xml:space="preserve">二十二、询问和质疑</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2、供应商针对同一采购程序环节的质疑应当在法定质疑期内一次性提出。</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3、质疑和投诉按《政府采购质疑和投诉办法》执行。</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4、接收质疑函的方式：供应商直接送交或供应商通过EMS邮寄。</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联系人：李旺旺、董莉        联系电话：0516-87888893</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通讯地址：徐州市吉田商务广场（南区）B栋号206</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第八章 联系方式</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1、采购人信息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名称：徐州市自然资源和规划局</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地址：徐州市镜泊西路7号</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联系方式：汪晓晓 13626160073</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2、采购代理机构信息</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名称：徐州保平建设项目管理咨询有限公司</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地址：徐州市吉田商务广场（南区）B栋号206</w:t>
      </w:r>
      <w:r/>
    </w:p>
    <w:p>
      <w:pPr>
        <w:ind w:firstLine="480"/>
        <w:spacing w:line="360" w:lineRule="auto"/>
        <w:rPr>
          <w:rFonts w:ascii="宋体" w:hAnsi="宋体" w:cs="宋体"/>
          <w:b/>
          <w:bCs/>
          <w:color w:val="auto"/>
          <w:sz w:val="24"/>
          <w:highlight w:val="none"/>
        </w:rPr>
      </w:pPr>
      <w:r>
        <w:rPr>
          <w:rFonts w:hint="eastAsia" w:ascii="宋体" w:hAnsi="宋体" w:cs="宋体"/>
          <w:color w:val="auto"/>
          <w:sz w:val="24"/>
          <w:highlight w:val="none"/>
        </w:rPr>
        <w:t xml:space="preserve">联系方式：李旺旺、董莉   0516-87888893</w:t>
      </w:r>
      <w:r/>
    </w:p>
    <w:p>
      <w:pPr>
        <w:jc w:val="center"/>
        <w:spacing w:line="360" w:lineRule="auto"/>
        <w:rPr>
          <w:rFonts w:ascii="宋体" w:hAnsi="宋体" w:cs="宋体"/>
          <w:b/>
          <w:bCs/>
          <w:color w:val="auto"/>
          <w:sz w:val="24"/>
          <w:highlight w:val="none"/>
        </w:rPr>
      </w:pPr>
      <w:r>
        <w:rPr>
          <w:rFonts w:ascii="宋体" w:hAnsi="宋体" w:cs="宋体"/>
          <w:b/>
          <w:bCs/>
          <w:color w:val="auto"/>
          <w:sz w:val="24"/>
          <w:highlight w:val="none"/>
        </w:rPr>
      </w:r>
      <w:r/>
    </w:p>
    <w:p>
      <w:pPr>
        <w:jc w:val="cente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第九章 其他要求及附件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二十三、成交供应商在领取成交通知书前，向采购代理机构缴纳代理服务费，收取标准见附件。</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二十四、采购人确定的采购项目属性：服务。</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二十五、附件：附后。</w:t>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附件：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1、《评分细则》</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2、《项目要求（采购需求）》</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3、《磋商报价表》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4、《</w:t>
      </w:r>
      <w:r>
        <w:rPr>
          <w:rFonts w:hint="eastAsia" w:ascii="宋体" w:hAnsi="宋体" w:cs="宋体"/>
          <w:bCs/>
          <w:color w:val="auto"/>
          <w:sz w:val="24"/>
          <w:highlight w:val="none"/>
        </w:rPr>
        <w:t xml:space="preserve">分项价格表</w:t>
      </w:r>
      <w:r>
        <w:rPr>
          <w:rFonts w:hint="eastAsia"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5、《偏离表》</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6、《拟签订的合同文本》</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7、《承诺书》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8、《授权委托书》</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9、《中小企业声明函》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10、《供应商参加政府采购活动前3年内在经营活动中没有重大违法记录的书面声明》</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11、《具备履行合同所必需的设备和专业技术能力的书面声明（附证明材料扫描件）》</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12、《残疾人福利性单位声明函》</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13、《代理服务收费标准》</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14、《预付款保函支付条款模板》</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numPr>
          <w:ilvl w:val="0"/>
          <w:numId w:val="2"/>
        </w:numPr>
        <w:jc w:val="right"/>
        <w:spacing w:line="0" w:lineRule="atLeast"/>
        <w:rPr>
          <w:rFonts w:ascii="宋体" w:hAnsi="宋体" w:cs="宋体"/>
          <w:b/>
          <w:color w:val="auto"/>
          <w:sz w:val="36"/>
          <w:highlight w:val="none"/>
        </w:rPr>
        <w:sectPr>
          <w:footerReference w:type="default" r:id="rId14"/>
          <w:footerReference w:type="first" r:id="rId15"/>
          <w:footnotePr/>
          <w:endnotePr/>
          <w:type w:val="nextPage"/>
          <w:pgSz w:w="11906" w:h="16838" w:orient="portrait"/>
          <w:pgMar w:top="1134" w:right="1247" w:bottom="680" w:left="1247" w:header="851" w:footer="992" w:gutter="0"/>
          <w:pgNumType w:start="1"/>
          <w:cols w:num="1" w:sep="0" w:space="1701" w:equalWidth="1"/>
          <w:docGrid w:linePitch="360"/>
          <w:titlePg/>
        </w:sectPr>
      </w:pPr>
      <w:r>
        <w:rPr>
          <w:rFonts w:ascii="宋体" w:hAnsi="宋体" w:cs="宋体"/>
          <w:b/>
          <w:color w:val="auto"/>
          <w:sz w:val="36"/>
          <w:highlight w:val="none"/>
        </w:rPr>
      </w:r>
      <w:r/>
    </w:p>
    <w:p>
      <w:pPr>
        <w:numPr>
          <w:ilvl w:val="0"/>
          <w:numId w:val="2"/>
        </w:numPr>
        <w:jc w:val="center"/>
        <w:spacing w:line="0" w:lineRule="atLeast"/>
        <w:rPr>
          <w:rFonts w:ascii="宋体" w:hAnsi="宋体" w:cs="宋体"/>
          <w:b/>
          <w:color w:val="auto"/>
          <w:sz w:val="36"/>
          <w:highlight w:val="none"/>
        </w:rPr>
      </w:pPr>
      <w:r>
        <w:rPr>
          <w:rFonts w:hint="eastAsia" w:ascii="宋体" w:hAnsi="宋体" w:cs="宋体"/>
          <w:b/>
          <w:color w:val="auto"/>
          <w:sz w:val="36"/>
          <w:highlight w:val="none"/>
        </w:rPr>
        <w:t xml:space="preserve">评分细则</w:t>
      </w:r>
      <w:r/>
    </w:p>
    <w:tbl>
      <w:tblPr>
        <w:tblStyle w:val="900"/>
        <w:tblW w:w="4995"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689"/>
        <w:gridCol w:w="7929"/>
      </w:tblGrid>
      <w:tr>
        <w:trPr>
          <w:jc w:val="center"/>
          <w:trHeight w:val="701"/>
        </w:trPr>
        <w:tc>
          <w:tcPr>
            <w:tcW w:w="878" w:type="pct"/>
            <w:vAlign w:val="center"/>
            <w:textDirection w:val="lrTb"/>
            <w:noWrap w:val="false"/>
          </w:tcPr>
          <w:p>
            <w:pPr>
              <w:pStyle w:val="974"/>
              <w:jc w:val="center"/>
              <w:rPr>
                <w:rFonts w:ascii="宋体" w:hAnsi="宋体" w:cs="宋体"/>
                <w:b/>
                <w:bCs/>
                <w:color w:val="auto"/>
                <w:sz w:val="24"/>
                <w:highlight w:val="none"/>
              </w:rPr>
            </w:pPr>
            <w:r>
              <w:rPr>
                <w:rFonts w:hint="eastAsia" w:ascii="宋体" w:hAnsi="宋体" w:cs="宋体"/>
                <w:b/>
                <w:bCs/>
                <w:color w:val="auto"/>
                <w:sz w:val="24"/>
                <w:highlight w:val="none"/>
              </w:rPr>
              <w:t xml:space="preserve">评分项目</w:t>
            </w:r>
            <w:r/>
          </w:p>
        </w:tc>
        <w:tc>
          <w:tcPr>
            <w:tcW w:w="4121" w:type="pct"/>
            <w:vAlign w:val="center"/>
            <w:textDirection w:val="lrTb"/>
            <w:noWrap w:val="false"/>
          </w:tcPr>
          <w:p>
            <w:pPr>
              <w:pStyle w:val="974"/>
              <w:jc w:val="center"/>
              <w:rPr>
                <w:rFonts w:ascii="宋体" w:hAnsi="宋体" w:cs="宋体"/>
                <w:color w:val="auto"/>
                <w:sz w:val="24"/>
                <w:highlight w:val="none"/>
              </w:rPr>
            </w:pPr>
            <w:r>
              <w:rPr>
                <w:rFonts w:hint="eastAsia" w:ascii="宋体" w:hAnsi="宋体" w:cs="宋体"/>
                <w:b/>
                <w:bCs/>
                <w:color w:val="auto"/>
                <w:sz w:val="24"/>
                <w:highlight w:val="none"/>
              </w:rPr>
              <w:t xml:space="preserve">评分标准</w:t>
            </w:r>
            <w:r/>
          </w:p>
        </w:tc>
      </w:tr>
      <w:tr>
        <w:trPr>
          <w:jc w:val="center"/>
          <w:trHeight w:val="1372"/>
        </w:trPr>
        <w:tc>
          <w:tcPr>
            <w:tcW w:w="878" w:type="pct"/>
            <w:vAlign w:val="center"/>
            <w:textDirection w:val="lrTb"/>
            <w:noWrap w:val="false"/>
          </w:tcPr>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价格</w:t>
            </w:r>
            <w:r/>
          </w:p>
          <w:p>
            <w:pPr>
              <w:jc w:val="center"/>
              <w:widowControl/>
              <w:rPr>
                <w:rFonts w:ascii="宋体" w:hAnsi="宋体" w:cs="宋体"/>
                <w:color w:val="auto"/>
                <w:sz w:val="24"/>
                <w:highlight w:val="none"/>
              </w:rPr>
            </w:pPr>
            <w:r>
              <w:rPr>
                <w:rFonts w:hint="eastAsia" w:ascii="宋体" w:hAnsi="宋体" w:cs="宋体"/>
                <w:color w:val="auto"/>
                <w:sz w:val="24"/>
                <w:highlight w:val="none"/>
              </w:rPr>
              <w:t xml:space="preserve">（10分）</w:t>
            </w:r>
            <w:r/>
          </w:p>
        </w:tc>
        <w:tc>
          <w:tcPr>
            <w:tcW w:w="4121" w:type="pct"/>
            <w:vAlign w:val="center"/>
            <w:textDirection w:val="lrTb"/>
            <w:noWrap w:val="false"/>
          </w:tcPr>
          <w:p>
            <w:pPr>
              <w:widowControl/>
              <w:rPr>
                <w:rFonts w:ascii="宋体" w:hAnsi="宋体" w:cs="宋体"/>
                <w:color w:val="auto"/>
                <w:sz w:val="24"/>
                <w:highlight w:val="none"/>
              </w:rPr>
            </w:pPr>
            <w:r>
              <w:rPr>
                <w:rFonts w:hint="eastAsia" w:ascii="宋体" w:hAnsi="宋体" w:cs="宋体"/>
                <w:color w:val="auto"/>
                <w:sz w:val="24"/>
                <w:highlight w:val="none"/>
              </w:rPr>
              <w:t xml:space="preserve">采用低价优先法计算，即满足磋商文件要求且最后报价最低的供应商的价格为磋商基准价，其价格分为满分。其他供应商的价格分统一按照下列公式计算：</w:t>
            </w:r>
            <w:r/>
          </w:p>
          <w:p>
            <w:pPr>
              <w:widowControl/>
              <w:rPr>
                <w:rFonts w:ascii="宋体" w:hAnsi="宋体" w:cs="宋体"/>
                <w:color w:val="auto"/>
                <w:sz w:val="24"/>
                <w:highlight w:val="none"/>
              </w:rPr>
            </w:pPr>
            <w:r>
              <w:rPr>
                <w:rFonts w:hint="eastAsia" w:ascii="宋体" w:hAnsi="宋体" w:cs="宋体"/>
                <w:color w:val="auto"/>
                <w:sz w:val="24"/>
                <w:highlight w:val="none"/>
              </w:rPr>
              <w:t xml:space="preserve">磋商报价得分=（磋商基准价/最后磋商报价）×10</w:t>
            </w:r>
            <w:r/>
          </w:p>
          <w:p>
            <w:pPr>
              <w:widowControl/>
              <w:rPr>
                <w:rFonts w:ascii="宋体" w:hAnsi="宋体" w:cs="宋体"/>
                <w:color w:val="auto"/>
                <w:sz w:val="24"/>
                <w:highlight w:val="none"/>
              </w:rPr>
            </w:pPr>
            <w:r>
              <w:rPr>
                <w:rFonts w:hint="eastAsia" w:ascii="宋体" w:hAnsi="宋体" w:cs="宋体"/>
                <w:color w:val="auto"/>
                <w:sz w:val="24"/>
                <w:highlight w:val="none"/>
                <w:lang w:val="en-US" w:eastAsia="zh-CN"/>
              </w:rPr>
              <w:t xml:space="preserve">服务</w:t>
            </w:r>
            <w:r>
              <w:rPr>
                <w:rFonts w:hint="eastAsia" w:ascii="宋体" w:hAnsi="宋体" w:cs="宋体"/>
                <w:color w:val="auto"/>
                <w:sz w:val="24"/>
                <w:highlight w:val="none"/>
              </w:rPr>
              <w:t xml:space="preserve">全部由符合政策要求的小微企业、监狱企业、享受政府采购支持政策的残疾人福利性单位承接的（以供应商提供的《中小企业声明函》、监狱企业证明文件和《残疾人福利性单位声明函》等相关材料为准），给予</w:t>
            </w:r>
            <w:r>
              <w:rPr>
                <w:rFonts w:hint="eastAsia" w:ascii="宋体" w:hAnsi="宋体" w:cs="宋体"/>
                <w:color w:val="auto"/>
                <w:sz w:val="24"/>
                <w:highlight w:val="none"/>
                <w:lang w:val="en-US" w:eastAsia="zh-CN"/>
              </w:rPr>
              <w:t xml:space="preserve">10</w:t>
            </w:r>
            <w:r>
              <w:rPr>
                <w:rFonts w:hint="eastAsia" w:ascii="宋体" w:hAnsi="宋体" w:cs="宋体"/>
                <w:color w:val="auto"/>
                <w:sz w:val="24"/>
                <w:highlight w:val="none"/>
              </w:rPr>
              <w:t xml:space="preserve">%的价格扣除，用扣除后的价格参加评审。该供应商最后磋商报价=最后报价*（100%-10%）。</w:t>
            </w:r>
            <w:r/>
          </w:p>
        </w:tc>
      </w:tr>
      <w:tr>
        <w:trPr>
          <w:jc w:val="center"/>
          <w:trHeight w:val="1532"/>
        </w:trPr>
        <w:tc>
          <w:tcPr>
            <w:tcW w:w="878" w:type="pct"/>
            <w:vAlign w:val="center"/>
            <w:textDirection w:val="lrTb"/>
            <w:noWrap w:val="false"/>
          </w:tcPr>
          <w:p>
            <w:pPr>
              <w:pStyle w:val="1242"/>
              <w:jc w:val="center"/>
              <w:rPr>
                <w:rFonts w:ascii="宋体" w:hAnsi="宋体" w:cs="宋体"/>
                <w:color w:val="auto"/>
                <w:sz w:val="24"/>
                <w:highlight w:val="none"/>
              </w:rPr>
            </w:pPr>
            <w:r>
              <w:rPr>
                <w:rFonts w:hint="eastAsia" w:ascii="宋体" w:hAnsi="宋体" w:cs="宋体"/>
                <w:color w:val="auto"/>
                <w:sz w:val="24"/>
                <w:highlight w:val="none"/>
              </w:rPr>
              <w:t xml:space="preserve">供应商业绩（4分）</w:t>
            </w:r>
            <w:r/>
          </w:p>
        </w:tc>
        <w:tc>
          <w:tcPr>
            <w:tcW w:w="4121" w:type="pct"/>
            <w:vAlign w:val="center"/>
            <w:textDirection w:val="lrTb"/>
            <w:noWrap w:val="false"/>
          </w:tcPr>
          <w:p>
            <w:pPr>
              <w:rPr>
                <w:rFonts w:ascii="宋体" w:hAnsi="宋体" w:cs="宋体"/>
                <w:color w:val="auto"/>
                <w:sz w:val="24"/>
                <w:highlight w:val="none"/>
              </w:rPr>
            </w:pPr>
            <w:r>
              <w:rPr>
                <w:rFonts w:hint="eastAsia" w:ascii="宋体" w:hAnsi="宋体" w:cs="宋体"/>
                <w:color w:val="auto"/>
                <w:sz w:val="24"/>
                <w:highlight w:val="none"/>
              </w:rPr>
              <w:t xml:space="preserve">响应文件中提供供应商为服务方(乙方)，合同签订日期在2022年11月1日（含）之后，合同内容为与本项目相同或相似项目的的合同原件扫描件，每提供一份得2分。</w:t>
            </w:r>
            <w:r/>
          </w:p>
          <w:p>
            <w:pPr>
              <w:rPr>
                <w:rFonts w:ascii="宋体" w:hAnsi="宋体" w:cs="宋体"/>
                <w:color w:val="auto"/>
                <w:sz w:val="24"/>
                <w:highlight w:val="none"/>
              </w:rPr>
            </w:pPr>
            <w:r>
              <w:rPr>
                <w:rFonts w:hint="eastAsia" w:ascii="宋体" w:hAnsi="宋体" w:cs="宋体"/>
                <w:color w:val="auto"/>
                <w:sz w:val="24"/>
                <w:highlight w:val="none"/>
              </w:rPr>
              <w:t xml:space="preserve">本项最多得4分，最低得0分。</w:t>
            </w:r>
            <w:r/>
          </w:p>
        </w:tc>
      </w:tr>
      <w:tr>
        <w:trPr>
          <w:jc w:val="center"/>
          <w:trHeight w:val="1948"/>
        </w:trPr>
        <w:tc>
          <w:tcPr>
            <w:tcW w:w="878" w:type="pct"/>
            <w:vAlign w:val="center"/>
            <w:textDirection w:val="lrTb"/>
            <w:noWrap w:val="false"/>
          </w:tcPr>
          <w:p>
            <w:pPr>
              <w:jc w:val="center"/>
              <w:widowControl/>
              <w:rPr>
                <w:rFonts w:ascii="宋体" w:hAnsi="宋体" w:cs="宋体"/>
                <w:color w:val="auto"/>
                <w:sz w:val="24"/>
                <w:highlight w:val="none"/>
              </w:rPr>
              <w:outlineLvl w:val="0"/>
            </w:pPr>
            <w:r>
              <w:rPr>
                <w:rFonts w:hint="eastAsia" w:ascii="宋体" w:hAnsi="宋体" w:cs="宋体"/>
                <w:color w:val="auto"/>
                <w:sz w:val="24"/>
                <w:szCs w:val="20"/>
                <w:highlight w:val="none"/>
              </w:rPr>
              <w:t xml:space="preserve">供应商评价（3分）</w:t>
            </w:r>
            <w:r/>
          </w:p>
        </w:tc>
        <w:tc>
          <w:tcPr>
            <w:tcW w:w="4121" w:type="pct"/>
            <w:textDirection w:val="lrTb"/>
            <w:noWrap w:val="false"/>
          </w:tcPr>
          <w:p>
            <w:pPr>
              <w:jc w:val="left"/>
              <w:widowControl/>
              <w:rPr>
                <w:rFonts w:ascii="宋体" w:hAnsi="宋体" w:cs="宋体"/>
                <w:color w:val="auto"/>
                <w:sz w:val="24"/>
                <w:szCs w:val="20"/>
                <w:highlight w:val="none"/>
              </w:rPr>
              <w:outlineLvl w:val="0"/>
            </w:pPr>
            <w:r>
              <w:rPr>
                <w:rFonts w:hint="eastAsia" w:ascii="宋体" w:hAnsi="宋体" w:cs="宋体"/>
                <w:color w:val="auto"/>
                <w:sz w:val="24"/>
                <w:szCs w:val="20"/>
                <w:highlight w:val="none"/>
              </w:rPr>
              <w:t xml:space="preserve">供应商具有有效期内的质量管理体系认证证书、环境管理体系认证证书、职业健康安全管理体系认证证书，每个证书得1分，本项最高得3分。</w:t>
            </w:r>
            <w:r/>
          </w:p>
          <w:p>
            <w:pPr>
              <w:jc w:val="left"/>
              <w:widowControl/>
              <w:rPr>
                <w:rFonts w:ascii="宋体" w:hAnsi="宋体" w:cs="宋体"/>
                <w:color w:val="auto"/>
                <w:sz w:val="24"/>
                <w:szCs w:val="20"/>
                <w:highlight w:val="none"/>
              </w:rPr>
              <w:outlineLvl w:val="0"/>
            </w:pPr>
            <w:r>
              <w:rPr>
                <w:rFonts w:hint="eastAsia" w:ascii="宋体" w:hAnsi="宋体" w:cs="宋体"/>
                <w:color w:val="auto"/>
                <w:sz w:val="24"/>
                <w:szCs w:val="20"/>
                <w:highlight w:val="none"/>
              </w:rPr>
              <w:t xml:space="preserve">响应文件中提供上述认证证书扫描件件及国家市场监督管理总局全国认证认可信息公共服务平台(网址：http://cx.cnca.cn/CertECloud/result/skipResultList)查询证书状态为有效的截图证明材料方为有效，不提供或提供不全的不得分。</w:t>
            </w:r>
            <w:r/>
          </w:p>
        </w:tc>
      </w:tr>
      <w:tr>
        <w:trPr>
          <w:jc w:val="center"/>
          <w:trHeight w:val="90"/>
        </w:trPr>
        <w:tc>
          <w:tcPr>
            <w:tcW w:w="878" w:type="pct"/>
            <w:vAlign w:val="center"/>
            <w:textDirection w:val="lrTb"/>
            <w:noWrap w:val="false"/>
          </w:tcPr>
          <w:p>
            <w:pPr>
              <w:pStyle w:val="1245"/>
              <w:ind w:firstLine="0"/>
              <w:jc w:val="center"/>
              <w:spacing w:before="0" w:after="0" w:line="400" w:lineRule="exact"/>
              <w:rPr>
                <w:rFonts w:ascii="宋体" w:hAnsi="宋体" w:cs="宋体"/>
                <w:bCs/>
                <w:color w:val="auto"/>
                <w:highlight w:val="none"/>
              </w:rPr>
            </w:pPr>
            <w:r>
              <w:rPr>
                <w:rFonts w:hint="eastAsia" w:ascii="宋体" w:hAnsi="宋体" w:cs="宋体"/>
                <w:bCs/>
                <w:color w:val="auto"/>
                <w:highlight w:val="none"/>
              </w:rPr>
              <w:t xml:space="preserve">人员配备</w:t>
            </w:r>
            <w:r/>
          </w:p>
          <w:p>
            <w:pPr>
              <w:pStyle w:val="1242"/>
              <w:jc w:val="center"/>
              <w:rPr>
                <w:rFonts w:ascii="宋体" w:hAnsi="宋体" w:cs="宋体"/>
                <w:color w:val="auto"/>
                <w:sz w:val="24"/>
                <w:highlight w:val="none"/>
              </w:rPr>
            </w:pPr>
            <w:r>
              <w:rPr>
                <w:rFonts w:hint="eastAsia" w:ascii="宋体" w:hAnsi="宋体" w:cs="宋体"/>
                <w:bCs/>
                <w:color w:val="auto"/>
                <w:highlight w:val="none"/>
              </w:rPr>
              <w:t xml:space="preserve">（12分）</w:t>
            </w:r>
            <w:r/>
          </w:p>
        </w:tc>
        <w:tc>
          <w:tcPr>
            <w:tcW w:w="4121" w:type="pct"/>
            <w:vAlign w:val="center"/>
            <w:textDirection w:val="lrTb"/>
            <w:noWrap w:val="false"/>
          </w:tcPr>
          <w:p>
            <w:pPr>
              <w:jc w:val="left"/>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1、项目负责人（3分）</w:t>
            </w:r>
            <w:r/>
          </w:p>
          <w:p>
            <w:pPr>
              <w:jc w:val="left"/>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具有注册城乡规划师资格且同时具有正高级职称，得3分。</w:t>
            </w:r>
            <w:r/>
          </w:p>
          <w:p>
            <w:pPr>
              <w:jc w:val="left"/>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2、项目组成员（不含项目负责人）（9分）</w:t>
            </w:r>
            <w:r/>
          </w:p>
          <w:p>
            <w:pPr>
              <w:jc w:val="left"/>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①在项目组成员</w:t>
            </w:r>
            <w:r>
              <w:rPr>
                <w:rFonts w:hint="eastAsia" w:ascii="宋体" w:hAnsi="宋体" w:cs="宋体"/>
                <w:color w:val="auto"/>
                <w:sz w:val="24"/>
                <w:highlight w:val="none"/>
              </w:rPr>
              <w:t xml:space="preserve">配备（3人）</w:t>
            </w:r>
            <w:r>
              <w:rPr>
                <w:rFonts w:hint="eastAsia" w:ascii="宋体" w:hAnsi="宋体" w:cs="宋体"/>
                <w:bCs/>
                <w:color w:val="auto"/>
                <w:sz w:val="24"/>
                <w:highlight w:val="none"/>
              </w:rPr>
              <w:t xml:space="preserve">要求的基础上每增加一人得1分，本项最高得3分。</w:t>
            </w:r>
            <w:r/>
          </w:p>
          <w:p>
            <w:pPr>
              <w:jc w:val="left"/>
              <w:spacing w:line="400" w:lineRule="exact"/>
              <w:rPr>
                <w:rFonts w:ascii="宋体" w:hAnsi="宋体" w:cs="宋体"/>
                <w:bCs/>
                <w:color w:val="auto"/>
                <w:sz w:val="24"/>
                <w:highlight w:val="none"/>
              </w:rPr>
            </w:pPr>
            <w:r>
              <w:rPr>
                <w:rFonts w:hint="eastAsia" w:ascii="宋体" w:hAnsi="宋体" w:cs="宋体"/>
                <w:bCs/>
                <w:color w:val="auto"/>
                <w:sz w:val="24"/>
                <w:highlight w:val="none"/>
              </w:rPr>
              <w:t xml:space="preserve">②其中具有注册城乡规划师资格且同时具有高级及以上职称，有一人得2分，本项最高得6分。</w:t>
            </w:r>
            <w:r/>
          </w:p>
          <w:p>
            <w:pPr>
              <w:jc w:val="left"/>
              <w:spacing w:line="400" w:lineRule="exact"/>
              <w:rPr>
                <w:rFonts w:ascii="宋体" w:hAnsi="宋体" w:cs="宋体"/>
                <w:color w:val="auto"/>
                <w:sz w:val="24"/>
                <w:highlight w:val="none"/>
              </w:rPr>
            </w:pPr>
            <w:r>
              <w:rPr>
                <w:rFonts w:hint="eastAsia" w:ascii="宋体" w:hAnsi="宋体" w:cs="宋体"/>
                <w:bCs/>
                <w:color w:val="auto"/>
                <w:sz w:val="24"/>
                <w:highlight w:val="none"/>
              </w:rPr>
              <w:t xml:space="preserve">注：提供上述人员相关证书证明材料原件扫描件及</w:t>
            </w:r>
            <w:r>
              <w:rPr>
                <w:rFonts w:hint="eastAsia" w:ascii="宋体" w:hAnsi="宋体" w:cs="宋体"/>
                <w:bCs/>
                <w:color w:val="auto"/>
                <w:sz w:val="24"/>
                <w:highlight w:val="none"/>
              </w:rPr>
              <w:t xml:space="preserve">2025年6月（含）以来任意一个月</w:t>
            </w:r>
            <w:r>
              <w:rPr>
                <w:rFonts w:hint="eastAsia" w:ascii="宋体" w:hAnsi="宋体" w:cs="宋体"/>
                <w:bCs/>
                <w:color w:val="auto"/>
                <w:sz w:val="24"/>
                <w:highlight w:val="none"/>
              </w:rPr>
              <w:t xml:space="preserve">由供应商为其缴纳的社保证明材料，否则不得分。</w:t>
            </w:r>
            <w:r/>
          </w:p>
        </w:tc>
      </w:tr>
      <w:tr>
        <w:trPr>
          <w:jc w:val="center"/>
          <w:trHeight w:val="3471"/>
        </w:trPr>
        <w:tc>
          <w:tcPr>
            <w:tcW w:w="87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项目的理解</w:t>
            </w:r>
            <w:r/>
          </w:p>
          <w:p>
            <w:pPr>
              <w:jc w:val="center"/>
              <w:rPr>
                <w:rFonts w:ascii="宋体" w:hAnsi="宋体" w:cs="宋体"/>
                <w:color w:val="auto"/>
                <w:sz w:val="24"/>
                <w:highlight w:val="none"/>
              </w:rPr>
            </w:pPr>
            <w:r>
              <w:rPr>
                <w:rFonts w:hint="eastAsia" w:ascii="宋体" w:hAnsi="宋体" w:cs="宋体"/>
                <w:color w:val="auto"/>
                <w:sz w:val="24"/>
                <w:highlight w:val="none"/>
              </w:rPr>
              <w:t xml:space="preserve">（12分）</w:t>
            </w:r>
            <w:r/>
          </w:p>
        </w:tc>
        <w:tc>
          <w:tcPr>
            <w:tcW w:w="4121" w:type="pct"/>
            <w:vAlign w:val="center"/>
            <w:textDirection w:val="lrTb"/>
            <w:noWrap w:val="false"/>
          </w:tcPr>
          <w:p>
            <w:pPr>
              <w:numPr>
                <w:ilvl w:val="255"/>
                <w:numId w:val="0"/>
              </w:numPr>
              <w:rPr>
                <w:rFonts w:ascii="宋体" w:hAnsi="宋体" w:cs="宋体"/>
                <w:color w:val="auto"/>
                <w:sz w:val="24"/>
                <w:highlight w:val="none"/>
              </w:rPr>
            </w:pPr>
            <w:r>
              <w:rPr>
                <w:rFonts w:hint="eastAsia" w:ascii="宋体" w:hAnsi="宋体" w:cs="宋体"/>
                <w:color w:val="auto"/>
                <w:sz w:val="24"/>
                <w:highlight w:val="none"/>
              </w:rPr>
              <w:t xml:space="preserve">根据供应商对项目背景、总体情况、规划范围、编制目标等理解认知进行打分：</w:t>
            </w:r>
            <w:r/>
          </w:p>
          <w:p>
            <w:pPr>
              <w:rPr>
                <w:rFonts w:ascii="宋体" w:hAnsi="宋体" w:cs="宋体"/>
                <w:color w:val="auto"/>
                <w:sz w:val="24"/>
                <w:highlight w:val="none"/>
              </w:rPr>
            </w:pPr>
            <w:r>
              <w:rPr>
                <w:rFonts w:hint="eastAsia" w:ascii="宋体" w:hAnsi="宋体" w:cs="宋体"/>
                <w:color w:val="auto"/>
                <w:sz w:val="24"/>
                <w:highlight w:val="none"/>
              </w:rPr>
              <w:t xml:space="preserve">全面性(4分)：全面具体详实的得4分；基本具备的得2分；不太全面的得1分。</w:t>
            </w:r>
            <w:r/>
          </w:p>
          <w:p>
            <w:pPr>
              <w:rPr>
                <w:rFonts w:ascii="宋体" w:hAnsi="宋体" w:cs="宋体"/>
                <w:color w:val="auto"/>
                <w:sz w:val="24"/>
                <w:highlight w:val="none"/>
              </w:rPr>
            </w:pPr>
            <w:r>
              <w:rPr>
                <w:rFonts w:hint="eastAsia" w:ascii="宋体" w:hAnsi="宋体" w:cs="宋体"/>
                <w:color w:val="auto"/>
                <w:sz w:val="24"/>
                <w:highlight w:val="none"/>
              </w:rPr>
              <w:t xml:space="preserve">可行性（4分）：合理可行的得4分；；可行性一般的得2分；可行性欠缺的得1分。</w:t>
            </w:r>
            <w:r/>
          </w:p>
          <w:p>
            <w:pPr>
              <w:rPr>
                <w:rFonts w:ascii="宋体" w:hAnsi="宋体" w:cs="宋体"/>
                <w:color w:val="auto"/>
                <w:sz w:val="24"/>
                <w:highlight w:val="none"/>
              </w:rPr>
            </w:pPr>
            <w:r>
              <w:rPr>
                <w:rFonts w:hint="eastAsia" w:ascii="宋体" w:hAnsi="宋体" w:cs="宋体"/>
                <w:color w:val="auto"/>
                <w:sz w:val="24"/>
                <w:highlight w:val="none"/>
              </w:rPr>
              <w:t xml:space="preserve">针对性（4分)：针对性强得4分；针对性一般的得2分；欠缺针对性的得1分。</w:t>
            </w:r>
            <w:r/>
          </w:p>
          <w:p>
            <w:pPr>
              <w:pStyle w:val="1243"/>
              <w:ind w:left="0" w:firstLine="0"/>
              <w:spacing w:line="240" w:lineRule="auto"/>
              <w:rPr>
                <w:rFonts w:ascii="宋体" w:hAnsi="宋体" w:eastAsia="宋体" w:cs="宋体"/>
                <w:color w:val="auto"/>
                <w:highlight w:val="none"/>
              </w:rPr>
            </w:pPr>
            <w:r>
              <w:rPr>
                <w:rFonts w:hint="eastAsia" w:ascii="宋体" w:hAnsi="宋体" w:eastAsia="宋体" w:cs="宋体"/>
                <w:color w:val="auto"/>
                <w:highlight w:val="none"/>
              </w:rPr>
              <w:t xml:space="preserve">未提供的不得分。本项最高得12分，最低得0分。</w:t>
            </w:r>
            <w:r/>
          </w:p>
        </w:tc>
      </w:tr>
      <w:tr>
        <w:trPr>
          <w:jc w:val="center"/>
          <w:trHeight w:val="3016"/>
        </w:trPr>
        <w:tc>
          <w:tcPr>
            <w:tcW w:w="878" w:type="pct"/>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s="宋体"/>
                <w:color w:val="auto"/>
                <w:sz w:val="24"/>
                <w:highlight w:val="none"/>
              </w:rPr>
              <w:t xml:space="preserve">现状分析</w:t>
            </w:r>
            <w:r/>
          </w:p>
          <w:p>
            <w:pPr>
              <w:jc w:val="center"/>
              <w:rPr>
                <w:rFonts w:ascii="宋体" w:hAnsi="宋体" w:cs="宋体"/>
                <w:color w:val="auto"/>
                <w:sz w:val="24"/>
                <w:highlight w:val="none"/>
              </w:rPr>
            </w:pPr>
            <w:r>
              <w:rPr>
                <w:rFonts w:hint="eastAsia" w:ascii="宋体" w:hAnsi="宋体" w:cs="宋体"/>
                <w:color w:val="auto"/>
                <w:sz w:val="24"/>
                <w:highlight w:val="none"/>
              </w:rPr>
              <w:t xml:space="preserve">（12分）</w:t>
            </w:r>
            <w:r/>
          </w:p>
        </w:tc>
        <w:tc>
          <w:tcPr>
            <w:tcW w:w="4121" w:type="pct"/>
            <w:vAlign w:val="center"/>
            <w:textDirection w:val="lrTb"/>
            <w:noWrap w:val="false"/>
          </w:tcPr>
          <w:p>
            <w:pP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根据本项目对本项目综合交通体系、发展特点等方面的现状分析进行打分：</w:t>
            </w:r>
            <w:r/>
          </w:p>
          <w:p>
            <w:pPr>
              <w:rPr>
                <w:rFonts w:ascii="宋体" w:hAnsi="宋体" w:cs="宋体"/>
                <w:color w:val="auto"/>
                <w:sz w:val="24"/>
                <w:highlight w:val="none"/>
              </w:rPr>
            </w:pPr>
            <w:r>
              <w:rPr>
                <w:rFonts w:hint="eastAsia" w:ascii="宋体" w:hAnsi="宋体" w:cs="宋体"/>
                <w:color w:val="auto"/>
                <w:sz w:val="24"/>
                <w:highlight w:val="none"/>
              </w:rPr>
              <w:t xml:space="preserve">全面性(4分)：全面具体详实的得4分；基本具备的得2分；不太全面的得1分。</w:t>
            </w:r>
            <w:r/>
          </w:p>
          <w:p>
            <w:pPr>
              <w:rPr>
                <w:rFonts w:ascii="宋体" w:hAnsi="宋体" w:cs="宋体"/>
                <w:color w:val="auto"/>
                <w:sz w:val="24"/>
                <w:highlight w:val="none"/>
              </w:rPr>
            </w:pPr>
            <w:r>
              <w:rPr>
                <w:rFonts w:hint="eastAsia" w:ascii="宋体" w:hAnsi="宋体" w:cs="宋体"/>
                <w:color w:val="auto"/>
                <w:sz w:val="24"/>
                <w:highlight w:val="none"/>
              </w:rPr>
              <w:t xml:space="preserve">可行性（4分）：合理可行的得4分；；可行性一般的得2分；可行性欠缺的得1分。</w:t>
            </w:r>
            <w:r/>
          </w:p>
          <w:p>
            <w:pPr>
              <w:rPr>
                <w:rFonts w:ascii="宋体" w:hAnsi="宋体" w:cs="宋体"/>
                <w:color w:val="auto"/>
                <w:sz w:val="24"/>
                <w:highlight w:val="none"/>
              </w:rPr>
            </w:pPr>
            <w:r>
              <w:rPr>
                <w:rFonts w:hint="eastAsia" w:ascii="宋体" w:hAnsi="宋体" w:cs="宋体"/>
                <w:color w:val="auto"/>
                <w:sz w:val="24"/>
                <w:highlight w:val="none"/>
              </w:rPr>
              <w:t xml:space="preserve">针对性（4分)：针对性强得4分；针对性一般的得2分；欠缺针对性的得1分。</w:t>
            </w:r>
            <w:r/>
          </w:p>
          <w:p>
            <w:pPr>
              <w:pStyle w:val="905"/>
              <w:spacing w:after="0"/>
              <w:rPr>
                <w:rFonts w:ascii="宋体" w:hAnsi="宋体" w:cs="宋体"/>
                <w:b/>
                <w:bCs/>
                <w:color w:val="auto"/>
                <w:sz w:val="24"/>
                <w:highlight w:val="none"/>
              </w:rPr>
            </w:pPr>
            <w:r>
              <w:rPr>
                <w:rFonts w:hint="eastAsia" w:ascii="宋体" w:hAnsi="宋体" w:cs="宋体"/>
                <w:color w:val="auto"/>
                <w:sz w:val="24"/>
                <w:highlight w:val="none"/>
              </w:rPr>
              <w:t xml:space="preserve">未提供的不得分。本项最高得12分，最低得0分。</w:t>
            </w:r>
            <w:r/>
          </w:p>
        </w:tc>
      </w:tr>
      <w:tr>
        <w:trPr>
          <w:jc w:val="center"/>
          <w:trHeight w:val="2215"/>
        </w:trPr>
        <w:tc>
          <w:tcPr>
            <w:tcW w:w="878" w:type="pct"/>
            <w:vAlign w:val="center"/>
            <w:textDirection w:val="lrTb"/>
            <w:noWrap w:val="false"/>
          </w:tcPr>
          <w:p>
            <w:pPr>
              <w:pStyle w:val="1246"/>
              <w:ind w:firstLine="0"/>
              <w:jc w:val="center"/>
              <w:spacing w:line="400" w:lineRule="exact"/>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项目规划方案</w:t>
            </w:r>
            <w:r/>
          </w:p>
          <w:p>
            <w:pPr>
              <w:jc w:val="center"/>
              <w:rPr>
                <w:rFonts w:ascii="宋体" w:hAnsi="宋体" w:cs="宋体"/>
                <w:color w:val="auto"/>
                <w:sz w:val="24"/>
                <w:highlight w:val="none"/>
              </w:rPr>
            </w:pPr>
            <w:r>
              <w:rPr>
                <w:rFonts w:hint="eastAsia" w:ascii="宋体" w:hAnsi="宋体" w:cs="宋体"/>
                <w:color w:val="auto"/>
                <w:sz w:val="24"/>
                <w:highlight w:val="none"/>
              </w:rPr>
              <w:t xml:space="preserve">（12分）</w:t>
            </w:r>
            <w:r/>
          </w:p>
        </w:tc>
        <w:tc>
          <w:tcPr>
            <w:tcW w:w="4121" w:type="pct"/>
            <w:vAlign w:val="center"/>
            <w:textDirection w:val="lrTb"/>
            <w:noWrap w:val="false"/>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根据供应商对项目规划的实施方案的进行打分：</w:t>
            </w:r>
            <w:r/>
          </w:p>
          <w:p>
            <w:pPr>
              <w:rPr>
                <w:rFonts w:ascii="宋体" w:hAnsi="宋体" w:cs="宋体"/>
                <w:color w:val="auto"/>
                <w:sz w:val="24"/>
                <w:highlight w:val="none"/>
              </w:rPr>
            </w:pPr>
            <w:r>
              <w:rPr>
                <w:rFonts w:hint="eastAsia" w:ascii="宋体" w:hAnsi="宋体" w:cs="宋体"/>
                <w:color w:val="auto"/>
                <w:sz w:val="24"/>
                <w:highlight w:val="none"/>
              </w:rPr>
              <w:t xml:space="preserve">全面性(4分)：全面具体详实的得4分；基本具备的得2分；不太全面的得1分。</w:t>
            </w:r>
            <w:r/>
          </w:p>
          <w:p>
            <w:pPr>
              <w:rPr>
                <w:rFonts w:ascii="宋体" w:hAnsi="宋体" w:cs="宋体"/>
                <w:color w:val="auto"/>
                <w:sz w:val="24"/>
                <w:highlight w:val="none"/>
              </w:rPr>
            </w:pPr>
            <w:r>
              <w:rPr>
                <w:rFonts w:hint="eastAsia" w:ascii="宋体" w:hAnsi="宋体" w:cs="宋体"/>
                <w:color w:val="auto"/>
                <w:sz w:val="24"/>
                <w:highlight w:val="none"/>
              </w:rPr>
              <w:t xml:space="preserve">可行性（4分）：合理可行的得4分；；可行性一般的得2分；可行性欠缺的得1分。</w:t>
            </w:r>
            <w:r/>
          </w:p>
          <w:p>
            <w:pPr>
              <w:rPr>
                <w:rFonts w:ascii="宋体" w:hAnsi="宋体" w:cs="宋体"/>
                <w:color w:val="auto"/>
                <w:sz w:val="24"/>
                <w:highlight w:val="none"/>
              </w:rPr>
            </w:pPr>
            <w:r>
              <w:rPr>
                <w:rFonts w:hint="eastAsia" w:ascii="宋体" w:hAnsi="宋体" w:cs="宋体"/>
                <w:color w:val="auto"/>
                <w:sz w:val="24"/>
                <w:highlight w:val="none"/>
              </w:rPr>
              <w:t xml:space="preserve">针对性（4分)：针对性强得4分；针对性一般的得2分；欠缺针对性的得1分。</w:t>
            </w:r>
            <w:r/>
          </w:p>
          <w:p>
            <w:pPr>
              <w:rPr>
                <w:rFonts w:ascii="宋体" w:hAnsi="宋体" w:cs="宋体"/>
                <w:color w:val="auto"/>
                <w:sz w:val="24"/>
                <w:highlight w:val="none"/>
              </w:rPr>
            </w:pPr>
            <w:r>
              <w:rPr>
                <w:rFonts w:hint="eastAsia" w:ascii="宋体" w:hAnsi="宋体" w:cs="宋体"/>
                <w:color w:val="auto"/>
                <w:sz w:val="24"/>
                <w:highlight w:val="none"/>
              </w:rPr>
              <w:t xml:space="preserve">未提供的不得分。本项最高得12分，最低得0分。</w:t>
            </w:r>
            <w:r/>
          </w:p>
        </w:tc>
      </w:tr>
      <w:tr>
        <w:trPr>
          <w:jc w:val="center"/>
          <w:trHeight w:val="3478"/>
        </w:trPr>
        <w:tc>
          <w:tcPr>
            <w:tcW w:w="878"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规划成果内容结构合理性</w:t>
            </w:r>
            <w:r/>
          </w:p>
          <w:p>
            <w:pPr>
              <w:pStyle w:val="1242"/>
              <w:jc w:val="center"/>
              <w:rPr>
                <w:rFonts w:ascii="宋体" w:hAnsi="宋体" w:cs="宋体"/>
                <w:color w:val="auto"/>
                <w:sz w:val="24"/>
                <w:highlight w:val="none"/>
              </w:rPr>
            </w:pPr>
            <w:r>
              <w:rPr>
                <w:rFonts w:hint="eastAsia" w:ascii="宋体" w:hAnsi="宋体" w:cs="宋体"/>
                <w:color w:val="auto"/>
                <w:sz w:val="24"/>
                <w:highlight w:val="none"/>
              </w:rPr>
              <w:t xml:space="preserve">（12分）</w:t>
            </w:r>
            <w:r/>
          </w:p>
        </w:tc>
        <w:tc>
          <w:tcPr>
            <w:tcW w:w="4121" w:type="pct"/>
            <w:vAlign w:val="center"/>
            <w:textDirection w:val="lrTb"/>
            <w:noWrap w:val="false"/>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根据供应商对项目规划成果内容结构合理性进行打分：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全面性(4分)：全面具体详实的得4分；基本具备的得2分；不太全面的得1分。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可行性（4分）：合理可行的得4分；；可行性一般的得2分；可行性欠缺的得1分。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针对性（4分)：针对性强得4分；针对性一般的得2分；欠缺针对性的得1分。</w:t>
            </w:r>
            <w:r/>
          </w:p>
          <w:p>
            <w:pPr>
              <w:jc w:val="left"/>
              <w:spacing w:line="400" w:lineRule="exact"/>
              <w:widowControl/>
              <w:rPr>
                <w:rFonts w:ascii="宋体" w:hAnsi="宋体" w:cs="宋体"/>
                <w:color w:val="auto"/>
                <w:highlight w:val="none"/>
              </w:rPr>
            </w:pPr>
            <w:r>
              <w:rPr>
                <w:rFonts w:hint="eastAsia" w:ascii="宋体" w:hAnsi="宋体" w:cs="宋体"/>
                <w:color w:val="auto"/>
                <w:sz w:val="24"/>
                <w:highlight w:val="none"/>
              </w:rPr>
              <w:t xml:space="preserve">未提供的不得分。本项最高得12分，最低得0分。</w:t>
            </w:r>
            <w:r/>
          </w:p>
        </w:tc>
      </w:tr>
      <w:tr>
        <w:trPr>
          <w:jc w:val="center"/>
          <w:trHeight w:val="1370"/>
        </w:trPr>
        <w:tc>
          <w:tcPr>
            <w:tcW w:w="878"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重难点分析及</w:t>
            </w:r>
            <w:r/>
          </w:p>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处理措施</w:t>
            </w:r>
            <w:r/>
          </w:p>
          <w:p>
            <w:pPr>
              <w:pStyle w:val="1242"/>
              <w:jc w:val="center"/>
              <w:rPr>
                <w:rFonts w:ascii="宋体" w:hAnsi="宋体" w:cs="宋体"/>
                <w:color w:val="auto"/>
                <w:sz w:val="24"/>
                <w:highlight w:val="none"/>
              </w:rPr>
            </w:pPr>
            <w:r>
              <w:rPr>
                <w:rFonts w:hint="eastAsia" w:ascii="宋体" w:hAnsi="宋体" w:cs="宋体"/>
                <w:color w:val="auto"/>
                <w:sz w:val="24"/>
                <w:highlight w:val="none"/>
              </w:rPr>
              <w:t xml:space="preserve">（10分）</w:t>
            </w:r>
            <w:r/>
          </w:p>
        </w:tc>
        <w:tc>
          <w:tcPr>
            <w:tcW w:w="4121" w:type="pct"/>
            <w:vAlign w:val="center"/>
            <w:textDirection w:val="lrTb"/>
            <w:noWrap w:val="false"/>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根据供应商对徐州市交通发展的重点难点问题进行分析，并提出合理的处理措施进行打分：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全面性(4分)：全面具体详实的得4分；基本具备的得2分；不太全面的得1分。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可行性（3分）：合理可行的得3分；；可行性一般的得2分；可行性欠缺的得1分。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针对性（3分)：针对性强得3分；针对性一般的得2分；欠缺针对性的得1分。</w:t>
            </w:r>
            <w:r/>
          </w:p>
          <w:p>
            <w:pPr>
              <w:jc w:val="left"/>
              <w:spacing w:line="400" w:lineRule="exact"/>
              <w:widowControl/>
              <w:rPr>
                <w:rFonts w:ascii="宋体" w:hAnsi="宋体" w:cs="宋体"/>
                <w:color w:val="auto"/>
                <w:highlight w:val="none"/>
              </w:rPr>
            </w:pPr>
            <w:r>
              <w:rPr>
                <w:rFonts w:hint="eastAsia" w:ascii="宋体" w:hAnsi="宋体" w:cs="宋体"/>
                <w:color w:val="auto"/>
                <w:sz w:val="24"/>
                <w:highlight w:val="none"/>
              </w:rPr>
              <w:t xml:space="preserve">未提供的不得分。本项最高得10分，最低得0分。</w:t>
            </w:r>
            <w:r/>
          </w:p>
        </w:tc>
      </w:tr>
      <w:tr>
        <w:trPr>
          <w:jc w:val="center"/>
          <w:trHeight w:val="1370"/>
        </w:trPr>
        <w:tc>
          <w:tcPr>
            <w:tcW w:w="878" w:type="pct"/>
            <w:vAlign w:val="center"/>
            <w:textDirection w:val="lrTb"/>
            <w:noWrap w:val="false"/>
          </w:tcPr>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质量保</w:t>
            </w:r>
            <w:r/>
          </w:p>
          <w:p>
            <w:pPr>
              <w:jc w:val="center"/>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障措施</w:t>
            </w:r>
            <w:r/>
          </w:p>
          <w:p>
            <w:pPr>
              <w:pStyle w:val="1242"/>
              <w:jc w:val="center"/>
              <w:rPr>
                <w:rFonts w:ascii="宋体" w:hAnsi="宋体" w:cs="宋体"/>
                <w:color w:val="auto"/>
                <w:sz w:val="24"/>
                <w:highlight w:val="none"/>
              </w:rPr>
            </w:pPr>
            <w:r>
              <w:rPr>
                <w:rFonts w:hint="eastAsia" w:ascii="宋体" w:hAnsi="宋体" w:cs="宋体"/>
                <w:color w:val="auto"/>
                <w:sz w:val="24"/>
                <w:highlight w:val="none"/>
              </w:rPr>
              <w:t xml:space="preserve">（10分）</w:t>
            </w:r>
            <w:r/>
          </w:p>
        </w:tc>
        <w:tc>
          <w:tcPr>
            <w:tcW w:w="4121" w:type="pct"/>
            <w:vAlign w:val="center"/>
            <w:textDirection w:val="lrTb"/>
            <w:noWrap w:val="false"/>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供应商为本项目规划服务工作的质量保障措施方面进行评分：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全面性(4分)：全面具体详实的得4分；基本具备的得2分；不太全面的得1分。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可行性（3分）：合理可行的得3分；；可行性一般的得2分；可行性欠缺的得1分。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针对性（3分)：针对性强得3分；针对性一般的得2分；欠缺针对性的得1分。</w:t>
            </w:r>
            <w:r/>
          </w:p>
          <w:p>
            <w:pPr>
              <w:jc w:val="left"/>
              <w:spacing w:line="400" w:lineRule="exact"/>
              <w:widowControl/>
              <w:rPr>
                <w:rFonts w:ascii="宋体" w:hAnsi="宋体" w:cs="宋体"/>
                <w:color w:val="auto"/>
                <w:highlight w:val="none"/>
              </w:rPr>
            </w:pPr>
            <w:r>
              <w:rPr>
                <w:rFonts w:hint="eastAsia" w:ascii="宋体" w:hAnsi="宋体" w:cs="宋体"/>
                <w:color w:val="auto"/>
                <w:sz w:val="24"/>
                <w:highlight w:val="none"/>
              </w:rPr>
              <w:t xml:space="preserve">未提供的不得分。本项最高得10分，最低得0分。</w:t>
            </w:r>
            <w:r/>
          </w:p>
        </w:tc>
      </w:tr>
      <w:tr>
        <w:trPr>
          <w:jc w:val="center"/>
          <w:trHeight w:val="1370"/>
        </w:trPr>
        <w:tc>
          <w:tcPr>
            <w:tcW w:w="878" w:type="pct"/>
            <w:vAlign w:val="center"/>
            <w:textDirection w:val="lrTb"/>
            <w:noWrap w:val="false"/>
          </w:tcPr>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后续服</w:t>
            </w:r>
            <w:r/>
          </w:p>
          <w:p>
            <w:pPr>
              <w:jc w:val="center"/>
              <w:spacing w:line="400" w:lineRule="exact"/>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ascii="宋体" w:hAnsi="宋体" w:cs="宋体"/>
                <w:color w:val="auto"/>
                <w:sz w:val="24"/>
                <w:highlight w:val="none"/>
              </w:rPr>
            </w:pPr>
            <w:r>
              <w:rPr>
                <w:rFonts w:hint="eastAsia" w:ascii="宋体" w:hAnsi="宋体" w:cs="宋体"/>
                <w:color w:val="auto"/>
                <w:sz w:val="24"/>
                <w:highlight w:val="none"/>
              </w:rPr>
              <w:t xml:space="preserve">务承诺</w:t>
            </w:r>
            <w:r/>
          </w:p>
          <w:p>
            <w:pPr>
              <w:pStyle w:val="1242"/>
              <w:jc w:val="center"/>
              <w:rPr>
                <w:rFonts w:ascii="宋体" w:hAnsi="宋体" w:cs="宋体"/>
                <w:color w:val="auto"/>
                <w:sz w:val="24"/>
                <w:highlight w:val="none"/>
              </w:rPr>
            </w:pPr>
            <w:r>
              <w:rPr>
                <w:rFonts w:hint="eastAsia" w:ascii="宋体" w:hAnsi="宋体" w:cs="宋体"/>
                <w:color w:val="auto"/>
                <w:sz w:val="24"/>
                <w:highlight w:val="none"/>
              </w:rPr>
              <w:t xml:space="preserve">（3分）</w:t>
            </w:r>
            <w:r/>
          </w:p>
        </w:tc>
        <w:tc>
          <w:tcPr>
            <w:tcW w:w="4121" w:type="pct"/>
            <w:vAlign w:val="center"/>
            <w:textDirection w:val="lrTb"/>
            <w:noWrap w:val="false"/>
          </w:tcPr>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针对本项目的后续服务内容承诺及服务条款，由评委根据规划编制服务承诺方案进行评分。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承诺后续服务内容全面、完整、可行性强，得3分；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服务内容较合理、可行，得2分；</w:t>
            </w:r>
            <w:r/>
          </w:p>
          <w:p>
            <w:pPr>
              <w:jc w:val="left"/>
              <w:spacing w:line="400" w:lineRule="exact"/>
              <w:widowControl/>
              <w:rPr>
                <w:rFonts w:ascii="宋体" w:hAnsi="宋体" w:cs="宋体"/>
                <w:color w:val="auto"/>
                <w:sz w:val="24"/>
                <w:highlight w:val="none"/>
              </w:rPr>
            </w:pPr>
            <w:r>
              <w:rPr>
                <w:rFonts w:hint="eastAsia" w:ascii="宋体" w:hAnsi="宋体" w:cs="宋体"/>
                <w:color w:val="auto"/>
                <w:sz w:val="24"/>
                <w:highlight w:val="none"/>
              </w:rPr>
              <w:t xml:space="preserve">服务内容基本满足要求，得1分。</w:t>
            </w:r>
            <w:r/>
          </w:p>
          <w:p>
            <w:pPr>
              <w:jc w:val="left"/>
              <w:spacing w:line="400" w:lineRule="exact"/>
              <w:widowControl/>
              <w:rPr>
                <w:rFonts w:ascii="宋体" w:hAnsi="宋体" w:cs="宋体"/>
                <w:color w:val="auto"/>
                <w:highlight w:val="none"/>
              </w:rPr>
            </w:pPr>
            <w:r>
              <w:rPr>
                <w:rFonts w:hint="eastAsia" w:ascii="宋体" w:hAnsi="宋体" w:cs="宋体"/>
                <w:color w:val="auto"/>
                <w:sz w:val="24"/>
                <w:highlight w:val="none"/>
              </w:rPr>
              <w:t xml:space="preserve">未提供的不得分。本项最高得3分，最低得0分。</w:t>
            </w:r>
            <w:r/>
          </w:p>
        </w:tc>
      </w:tr>
    </w:tbl>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说明：1、本项目采用综合评分法。</w:t>
      </w:r>
      <w:r/>
    </w:p>
    <w:p>
      <w:pPr>
        <w:rPr>
          <w:rFonts w:ascii="宋体" w:hAnsi="宋体" w:cs="宋体"/>
          <w:b/>
          <w:bCs/>
          <w:color w:val="auto"/>
          <w:sz w:val="24"/>
          <w:highlight w:val="none"/>
        </w:rPr>
      </w:pPr>
      <w:r>
        <w:rPr>
          <w:rFonts w:hint="eastAsia" w:ascii="宋体" w:hAnsi="宋体" w:cs="宋体"/>
          <w:b/>
          <w:bCs/>
          <w:color w:val="auto"/>
          <w:sz w:val="24"/>
          <w:highlight w:val="none"/>
        </w:rPr>
        <w:br w:type="page" w:clear="all"/>
      </w:r>
      <w:r/>
    </w:p>
    <w:p>
      <w:pPr>
        <w:jc w:val="center"/>
        <w:rPr>
          <w:rFonts w:ascii="宋体" w:hAnsi="宋体" w:cs="宋体"/>
          <w:b/>
          <w:bCs/>
          <w:color w:val="auto"/>
          <w:sz w:val="24"/>
          <w:highlight w:val="none"/>
        </w:rPr>
      </w:pPr>
      <w:r>
        <w:rPr>
          <w:rFonts w:hint="eastAsia" w:ascii="宋体" w:hAnsi="宋体" w:cs="宋体"/>
          <w:b/>
          <w:bCs/>
          <w:color w:val="auto"/>
          <w:sz w:val="32"/>
          <w:szCs w:val="32"/>
          <w:highlight w:val="none"/>
        </w:rPr>
        <w:t xml:space="preserve">2、项目要求（采购需求）</w:t>
      </w:r>
      <w:r/>
    </w:p>
    <w:p>
      <w:pPr>
        <w:spacing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一、本项目不接受超过人民币</w:t>
      </w:r>
      <w:r>
        <w:rPr>
          <w:rFonts w:hint="eastAsia" w:ascii="宋体" w:hAnsi="宋体" w:cs="宋体"/>
          <w:b/>
          <w:bCs/>
          <w:color w:val="auto"/>
          <w:sz w:val="24"/>
          <w:highlight w:val="none"/>
          <w:u w:val="single"/>
        </w:rPr>
        <w:t xml:space="preserve"> 150 </w:t>
      </w:r>
      <w:r>
        <w:rPr>
          <w:rFonts w:hint="eastAsia" w:ascii="宋体" w:hAnsi="宋体" w:cs="宋体"/>
          <w:b/>
          <w:bCs/>
          <w:color w:val="auto"/>
          <w:sz w:val="24"/>
          <w:highlight w:val="none"/>
        </w:rPr>
        <w:t xml:space="preserve">万元的投标报价。</w:t>
      </w:r>
      <w:r/>
    </w:p>
    <w:p>
      <w:pPr>
        <w:ind w:firstLine="480"/>
        <w:spacing w:line="500" w:lineRule="exact"/>
        <w:rPr>
          <w:rFonts w:ascii="宋体" w:hAnsi="宋体" w:cs="宋体"/>
          <w:color w:val="auto"/>
          <w:sz w:val="24"/>
          <w:highlight w:val="none"/>
        </w:rPr>
      </w:pPr>
      <w:r>
        <w:rPr>
          <w:rFonts w:hint="eastAsia" w:ascii="宋体" w:hAnsi="宋体" w:cs="宋体"/>
          <w:color w:val="auto"/>
          <w:sz w:val="24"/>
          <w:highlight w:val="none"/>
        </w:rPr>
        <w:t xml:space="preserve">包括但不限于完成该项目的成本、利润、税金、交通费、差旅费、文本打印费、资料增加成本费、项目调研考察费、规划论证会务费及专家评审费等直至提交最终成果过程中所涉及到的一切费用。</w:t>
      </w:r>
      <w:r/>
    </w:p>
    <w:p>
      <w:pPr>
        <w:pStyle w:val="929"/>
        <w:spacing w:before="0" w:beforeAutospacing="0" w:after="0" w:afterAutospacing="0" w:line="360" w:lineRule="auto"/>
        <w:rPr>
          <w:color w:val="auto"/>
          <w:highlight w:val="none"/>
        </w:rPr>
      </w:pPr>
      <w:r>
        <w:rPr>
          <w:rFonts w:hint="eastAsia"/>
          <w:b/>
          <w:bCs/>
          <w:color w:val="auto"/>
          <w:highlight w:val="none"/>
        </w:rPr>
        <w:t xml:space="preserve">二、服务期限：</w:t>
      </w:r>
      <w:bookmarkStart w:id="3" w:name="OLE_LINK17"/>
      <w:r/>
      <w:bookmarkStart w:id="4" w:name="OLE_LINK16"/>
      <w:r/>
      <w:bookmarkStart w:id="5" w:name="OLE_LINK28"/>
      <w:r/>
      <w:bookmarkStart w:id="6" w:name="_Toc128495192"/>
      <w:r/>
      <w:bookmarkStart w:id="7" w:name="_Toc500316749"/>
      <w:r/>
      <w:bookmarkStart w:id="8" w:name="_Toc511082193"/>
      <w:r/>
      <w:bookmarkStart w:id="9" w:name="_Toc128414704"/>
      <w:r>
        <w:rPr>
          <w:rFonts w:hint="eastAsia"/>
          <w:color w:val="auto"/>
          <w:highlight w:val="none"/>
        </w:rPr>
        <w:t xml:space="preserve">自</w:t>
      </w:r>
      <w:r>
        <w:rPr>
          <w:rFonts w:hint="eastAsia"/>
          <w:color w:val="auto"/>
          <w:highlight w:val="none"/>
          <w:u w:val="single"/>
        </w:rPr>
        <w:t xml:space="preserve">合同签订日</w:t>
      </w:r>
      <w:r>
        <w:rPr>
          <w:rFonts w:hint="eastAsia"/>
          <w:color w:val="auto"/>
          <w:highlight w:val="none"/>
        </w:rPr>
        <w:t xml:space="preserve">至</w:t>
      </w:r>
      <w:r>
        <w:rPr>
          <w:rFonts w:hint="eastAsia"/>
          <w:color w:val="auto"/>
          <w:highlight w:val="none"/>
          <w:u w:val="single"/>
        </w:rPr>
        <w:t xml:space="preserve">2026</w:t>
      </w:r>
      <w:r>
        <w:rPr>
          <w:rFonts w:hint="eastAsia"/>
          <w:color w:val="auto"/>
          <w:highlight w:val="none"/>
        </w:rPr>
        <w:t xml:space="preserve">年</w:t>
      </w:r>
      <w:r>
        <w:rPr>
          <w:rFonts w:hint="eastAsia"/>
          <w:color w:val="auto"/>
          <w:highlight w:val="none"/>
          <w:u w:val="single"/>
        </w:rPr>
        <w:t xml:space="preserve">12</w:t>
      </w:r>
      <w:r>
        <w:rPr>
          <w:rFonts w:hint="eastAsia"/>
          <w:color w:val="auto"/>
          <w:highlight w:val="none"/>
        </w:rPr>
        <w:t xml:space="preserve">月</w:t>
      </w:r>
      <w:r>
        <w:rPr>
          <w:rFonts w:hint="eastAsia"/>
          <w:color w:val="auto"/>
          <w:highlight w:val="none"/>
          <w:u w:val="single"/>
        </w:rPr>
        <w:t xml:space="preserve"> 31  </w:t>
      </w:r>
      <w:r>
        <w:rPr>
          <w:rFonts w:hint="eastAsia"/>
          <w:color w:val="auto"/>
          <w:highlight w:val="none"/>
        </w:rPr>
        <w:t xml:space="preserve">日。</w:t>
      </w:r>
      <w:r/>
    </w:p>
    <w:p>
      <w:pPr>
        <w:pStyle w:val="915"/>
        <w:ind w:firstLine="480"/>
        <w:jc w:val="left"/>
        <w:spacing w:line="560" w:lineRule="exact"/>
        <w:rPr>
          <w:rFonts w:hint="eastAsia" w:hAnsi="宋体" w:cs="宋体"/>
          <w:bCs/>
          <w:color w:val="auto"/>
          <w:sz w:val="24"/>
          <w:highlight w:val="none"/>
        </w:rPr>
      </w:pPr>
      <w:r>
        <w:rPr>
          <w:rFonts w:hint="eastAsia" w:hAnsi="宋体" w:cs="宋体"/>
          <w:bCs/>
          <w:color w:val="auto"/>
          <w:sz w:val="24"/>
          <w:szCs w:val="24"/>
          <w:highlight w:val="none"/>
        </w:rPr>
        <w:t xml:space="preserve">合同签订后3个月内完成现状调查和规划初步成果；完成规划初步</w:t>
      </w:r>
      <w:r>
        <w:rPr>
          <w:rFonts w:hint="eastAsia" w:hAnsi="宋体" w:cs="宋体"/>
          <w:bCs/>
          <w:color w:val="auto"/>
          <w:sz w:val="24"/>
          <w:highlight w:val="none"/>
        </w:rPr>
        <w:t xml:space="preserve">成果</w:t>
      </w:r>
      <w:r>
        <w:rPr>
          <w:rFonts w:hint="eastAsia" w:hAnsi="宋体" w:cs="宋体"/>
          <w:bCs/>
          <w:color w:val="auto"/>
          <w:sz w:val="24"/>
          <w:szCs w:val="24"/>
          <w:highlight w:val="none"/>
        </w:rPr>
        <w:t xml:space="preserve">后3个月内完成初步成果</w:t>
      </w:r>
      <w:r>
        <w:rPr>
          <w:rFonts w:hint="eastAsia" w:hAnsi="宋体" w:cs="宋体"/>
          <w:bCs/>
          <w:color w:val="auto"/>
          <w:sz w:val="24"/>
          <w:highlight w:val="none"/>
        </w:rPr>
        <w:t xml:space="preserve">完整版本（包含文本说明和图件；经委托方认可后开展专家评审成果编制，3个月内形成评审成果，该时间节点为开展规划编制技术性工作的时间要求，审批机关论证、批复和因委托方原因造成的延误时间不含在内，成果完成时间可根据具体情况顺延。</w:t>
      </w:r>
      <w:bookmarkEnd w:id="3"/>
      <w:r/>
      <w:bookmarkEnd w:id="4"/>
      <w:r/>
      <w:bookmarkEnd w:id="5"/>
      <w:r/>
      <w:r/>
    </w:p>
    <w:p>
      <w:pPr>
        <w:pStyle w:val="1064"/>
        <w:spacing w:before="0" w:beforeAutospacing="0" w:after="0" w:afterAutospacing="0" w:line="500" w:lineRule="exact"/>
        <w:rPr>
          <w:b/>
          <w:bCs/>
          <w:color w:val="auto"/>
          <w:highlight w:val="none"/>
        </w:rPr>
      </w:pPr>
      <w:r/>
      <w:bookmarkStart w:id="10" w:name="_Toc128495191"/>
      <w:r/>
      <w:bookmarkStart w:id="11" w:name="_Toc128414703"/>
      <w:r>
        <w:rPr>
          <w:rFonts w:hint="eastAsia"/>
          <w:b/>
          <w:bCs/>
          <w:color w:val="auto"/>
          <w:highlight w:val="none"/>
        </w:rPr>
        <w:t xml:space="preserve">三、</w:t>
      </w:r>
      <w:bookmarkEnd w:id="10"/>
      <w:r/>
      <w:bookmarkEnd w:id="11"/>
      <w:r>
        <w:rPr>
          <w:rFonts w:hint="eastAsia"/>
          <w:b/>
          <w:bCs/>
          <w:color w:val="auto"/>
          <w:highlight w:val="none"/>
        </w:rPr>
        <w:t xml:space="preserve">项目概况</w:t>
      </w:r>
      <w:r/>
    </w:p>
    <w:p>
      <w:pPr>
        <w:pStyle w:val="1064"/>
        <w:spacing w:before="0" w:beforeAutospacing="0" w:after="0" w:afterAutospacing="0" w:line="500" w:lineRule="exact"/>
        <w:rPr>
          <w:b/>
          <w:bCs/>
          <w:color w:val="auto"/>
          <w:highlight w:val="none"/>
        </w:rPr>
      </w:pPr>
      <w:r>
        <w:rPr>
          <w:rFonts w:hint="eastAsia"/>
          <w:b/>
          <w:bCs/>
          <w:color w:val="auto"/>
          <w:highlight w:val="none"/>
        </w:rPr>
        <w:t xml:space="preserve">1、规划范围</w:t>
      </w:r>
      <w:bookmarkEnd w:id="6"/>
      <w:r/>
      <w:bookmarkEnd w:id="7"/>
      <w:r/>
      <w:bookmarkEnd w:id="8"/>
      <w:r/>
      <w:bookmarkEnd w:id="9"/>
      <w:r/>
      <w:r/>
    </w:p>
    <w:p>
      <w:pPr>
        <w:pStyle w:val="1064"/>
        <w:ind w:firstLine="480"/>
        <w:spacing w:before="0" w:beforeAutospacing="0" w:after="0" w:afterAutospacing="0" w:line="500" w:lineRule="exact"/>
        <w:rPr>
          <w:b/>
          <w:bCs/>
          <w:color w:val="auto"/>
          <w:highlight w:val="none"/>
        </w:rPr>
      </w:pPr>
      <w:r>
        <w:rPr>
          <w:rFonts w:hint="eastAsia"/>
          <w:color w:val="auto"/>
          <w:highlight w:val="none"/>
        </w:rPr>
        <w:t xml:space="preserve">规划编制范围为徐州市中心城区范围，面积660.71平方公里。</w:t>
      </w:r>
      <w:r/>
    </w:p>
    <w:p>
      <w:pPr>
        <w:pStyle w:val="1064"/>
        <w:spacing w:before="0" w:beforeAutospacing="0" w:after="0" w:afterAutospacing="0" w:line="500" w:lineRule="exact"/>
        <w:rPr>
          <w:b/>
          <w:bCs/>
          <w:color w:val="auto"/>
          <w:highlight w:val="none"/>
        </w:rPr>
      </w:pPr>
      <w:r>
        <w:rPr>
          <w:rFonts w:hint="eastAsia"/>
          <w:b/>
          <w:bCs/>
          <w:color w:val="auto"/>
          <w:highlight w:val="none"/>
        </w:rPr>
        <w:t xml:space="preserve">2、规划年限</w:t>
      </w:r>
      <w:r/>
    </w:p>
    <w:p>
      <w:pPr>
        <w:pStyle w:val="1064"/>
        <w:ind w:firstLine="480"/>
        <w:spacing w:before="0" w:beforeAutospacing="0" w:after="0" w:afterAutospacing="0" w:line="500" w:lineRule="exact"/>
        <w:rPr>
          <w:color w:val="auto"/>
          <w:highlight w:val="none"/>
        </w:rPr>
      </w:pPr>
      <w:r>
        <w:rPr>
          <w:rFonts w:hint="eastAsia"/>
          <w:color w:val="auto"/>
          <w:highlight w:val="none"/>
        </w:rPr>
        <w:t xml:space="preserve">综合交通规划年限为2025—2035年。</w:t>
      </w:r>
      <w:r/>
    </w:p>
    <w:p>
      <w:pPr>
        <w:pStyle w:val="1064"/>
        <w:spacing w:before="0" w:beforeAutospacing="0" w:after="0" w:afterAutospacing="0" w:line="500" w:lineRule="exact"/>
        <w:rPr>
          <w:b/>
          <w:bCs/>
          <w:color w:val="auto"/>
          <w:highlight w:val="none"/>
        </w:rPr>
      </w:pPr>
      <w:r/>
      <w:bookmarkStart w:id="12" w:name="_Toc128495194"/>
      <w:r/>
      <w:bookmarkStart w:id="13" w:name="_Toc128414706"/>
      <w:r>
        <w:rPr>
          <w:rFonts w:hint="eastAsia"/>
          <w:b/>
          <w:bCs/>
          <w:color w:val="auto"/>
          <w:highlight w:val="none"/>
        </w:rPr>
        <w:t xml:space="preserve">3、工作内容</w:t>
      </w:r>
      <w:bookmarkEnd w:id="12"/>
      <w:r/>
      <w:bookmarkEnd w:id="13"/>
      <w:r/>
      <w:r/>
    </w:p>
    <w:p>
      <w:pPr>
        <w:pStyle w:val="1064"/>
        <w:ind w:firstLine="480"/>
        <w:spacing w:before="0" w:beforeAutospacing="0" w:after="0" w:afterAutospacing="0" w:line="500" w:lineRule="exact"/>
        <w:rPr>
          <w:rFonts w:hint="eastAsia"/>
          <w:bCs/>
          <w:color w:val="auto"/>
          <w:highlight w:val="none"/>
        </w:rPr>
      </w:pPr>
      <w:r>
        <w:rPr>
          <w:rFonts w:hint="eastAsia"/>
          <w:bCs/>
          <w:color w:val="auto"/>
          <w:highlight w:val="none"/>
        </w:rPr>
        <w:t xml:space="preserve">本次规划以《城市综合交通体系规划标准（</w:t>
      </w:r>
      <w:r>
        <w:rPr>
          <w:bCs/>
          <w:color w:val="auto"/>
          <w:highlight w:val="none"/>
        </w:rPr>
        <w:t xml:space="preserve">GB/T51328-2018</w:t>
      </w:r>
      <w:r>
        <w:rPr>
          <w:rFonts w:hint="eastAsia"/>
          <w:bCs/>
          <w:color w:val="auto"/>
          <w:highlight w:val="none"/>
        </w:rPr>
        <w:t xml:space="preserve">）》等为依据，衔接十五五相关规划，结合国土空间规划的相关要求，在综合交通调查、调研的基础上，形成规划有关成果。</w:t>
      </w:r>
      <w:r/>
    </w:p>
    <w:p>
      <w:pPr>
        <w:pStyle w:val="1064"/>
        <w:spacing w:before="0" w:beforeAutospacing="0" w:after="0" w:afterAutospacing="0" w:line="500" w:lineRule="exact"/>
        <w:rPr>
          <w:color w:val="auto"/>
          <w:highlight w:val="none"/>
        </w:rPr>
      </w:pPr>
      <w:r>
        <w:rPr>
          <w:rFonts w:hint="eastAsia"/>
          <w:b/>
          <w:bCs/>
          <w:color w:val="auto"/>
          <w:highlight w:val="none"/>
        </w:rPr>
        <w:t xml:space="preserve">三、项目内容</w:t>
      </w:r>
      <w:r/>
    </w:p>
    <w:p>
      <w:pPr>
        <w:pStyle w:val="915"/>
        <w:ind w:firstLine="480"/>
        <w:jc w:val="left"/>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包括但不限于：</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1.落实徐州市国土空间总体规划综合交通目标，传导重大交通设施功能定位、空间布局和控制要求，优化城市内部干线路网布局，预控跨铁路、跨河道等重要交通廊道；</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2.与城市空间形态和用地布局相协调，落实“窄马路、密路网”的规划理念，梳理断头路，打通微循环，指导详规层面的交通管控需求；</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3.深化分析中心城区综合交通发展的现状特征及问题、发展趋势及客货运输需求，提出中心城区综合交通发展目标与规划指标；结合中心城区功能布局制定差异化交通发展策略;提出中心城区道路、公交、步行和非机动车、停车智慧交通、低空交通等设施系统布局要求。评估综合交通系统布局对中心城区空间布局的支撑关系以及综合交通各组成部分的协调关系,提出优化应对措施。明确中心城区交通重点项目清单和近期建设要求，提出节约集约用地要求和空间管控引导措施。细化对特定功能地区的交通发展指引和规划要求。</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4.衔接轨道交通线网及公交地铁接驳研究成果，针对通学、通勤和邻里公共服务等需求，联系各组团版块，增设微循环接驳线路，加强轨道、公共交通、步行和自行车的三网融合，促进轨道公交一体化发展；</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5.丰富慢行交通系统，引导居民采用“步行+公交”“自行车+公交”的出行方式，有效解决快慢交通冲突、慢行主体行路难等问题，打造安全、通畅、舒适、宜人的出行系统，形成快慢相宜的宜居城市交通体系；</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6.加强城市停车设施与用地功能、布局相适应，与道路等级及疏解能力相匹配；</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7.根据中心城区空间结构、用地布局及产业发展规划，适应产业转型升级带来的交通运输需求的变化，分析生产性物流、生活性物流、应急保障物流的发展态势，处理好与城市客运廊道关系，构建内外一体、快速通畅的城市货运通道体系。</w:t>
      </w:r>
      <w:r/>
    </w:p>
    <w:p>
      <w:pPr>
        <w:pStyle w:val="1064"/>
        <w:spacing w:before="0" w:beforeAutospacing="0" w:after="0" w:afterAutospacing="0" w:line="500" w:lineRule="exact"/>
        <w:rPr>
          <w:b/>
          <w:bCs/>
          <w:color w:val="auto"/>
          <w:highlight w:val="none"/>
        </w:rPr>
      </w:pPr>
      <w:r>
        <w:rPr>
          <w:rFonts w:hint="eastAsia"/>
          <w:b/>
          <w:bCs/>
          <w:color w:val="auto"/>
          <w:highlight w:val="none"/>
        </w:rPr>
        <w:t xml:space="preserve">四、项目要求</w:t>
      </w:r>
      <w:r/>
    </w:p>
    <w:p>
      <w:pPr>
        <w:pStyle w:val="1064"/>
        <w:ind w:firstLine="480"/>
        <w:spacing w:before="0" w:beforeAutospacing="0" w:after="0" w:afterAutospacing="0" w:line="500" w:lineRule="exact"/>
        <w:rPr>
          <w:color w:val="auto"/>
          <w:highlight w:val="none"/>
        </w:rPr>
      </w:pPr>
      <w:r>
        <w:rPr>
          <w:rFonts w:hint="eastAsia"/>
          <w:color w:val="auto"/>
          <w:highlight w:val="none"/>
        </w:rPr>
        <w:t xml:space="preserve">1、供应商提交的规划成果须符合《城市综合交通体系规划标准（GB/T51328-2018）》的要求。</w:t>
      </w:r>
      <w:r/>
    </w:p>
    <w:p>
      <w:pPr>
        <w:pStyle w:val="1064"/>
        <w:ind w:firstLine="480"/>
        <w:spacing w:before="0" w:beforeAutospacing="0" w:after="0" w:afterAutospacing="0" w:line="500" w:lineRule="exact"/>
        <w:rPr>
          <w:color w:val="auto"/>
          <w:highlight w:val="none"/>
        </w:rPr>
      </w:pPr>
      <w:r>
        <w:rPr>
          <w:rFonts w:hint="eastAsia"/>
          <w:color w:val="auto"/>
          <w:highlight w:val="none"/>
        </w:rPr>
        <w:t xml:space="preserve">2、规划编制工作中涉及到的涉密和敏感图文资料、电子数据，尤其是地形图和城市轨道交通、给排水、供热、供气、防洪及电力、电讯、人防等资料，编制单位应严格执行保密的相关规定，不得以任何方式向任何第三人披露、泄露或许可第三人使用。</w:t>
      </w:r>
      <w:r/>
    </w:p>
    <w:p>
      <w:pPr>
        <w:pStyle w:val="1064"/>
        <w:ind w:firstLine="482"/>
        <w:spacing w:before="0" w:beforeAutospacing="0" w:after="0" w:afterAutospacing="0" w:line="500" w:lineRule="exact"/>
        <w:rPr>
          <w:b/>
          <w:bCs/>
          <w:color w:val="auto"/>
          <w:highlight w:val="none"/>
        </w:rPr>
      </w:pPr>
      <w:r>
        <w:rPr>
          <w:rFonts w:hint="eastAsia"/>
          <w:b/>
          <w:bCs/>
          <w:color w:val="auto"/>
          <w:highlight w:val="none"/>
        </w:rPr>
        <w:t xml:space="preserve">3、人员配备</w:t>
      </w:r>
      <w:r/>
    </w:p>
    <w:p>
      <w:pPr>
        <w:pStyle w:val="1064"/>
        <w:ind w:firstLine="482"/>
        <w:spacing w:before="0" w:beforeAutospacing="0" w:after="0" w:afterAutospacing="0" w:line="500" w:lineRule="exact"/>
        <w:rPr>
          <w:b/>
          <w:bCs/>
          <w:color w:val="auto"/>
          <w:highlight w:val="none"/>
        </w:rPr>
      </w:pPr>
      <w:r>
        <w:rPr>
          <w:rFonts w:hint="eastAsia"/>
          <w:b/>
          <w:bCs/>
          <w:color w:val="auto"/>
          <w:highlight w:val="none"/>
        </w:rPr>
        <w:t xml:space="preserve">本项目要求配备项目负责人1人，项目组员不少于3人</w:t>
      </w:r>
      <w:r>
        <w:rPr>
          <w:rFonts w:hint="eastAsia"/>
          <w:b/>
          <w:bCs/>
          <w:color w:val="auto"/>
          <w:highlight w:val="none"/>
          <w:lang w:eastAsia="zh-CN"/>
        </w:rPr>
        <w:t xml:space="preserve">（</w:t>
      </w:r>
      <w:r>
        <w:rPr>
          <w:rFonts w:hint="eastAsia"/>
          <w:b/>
          <w:bCs/>
          <w:color w:val="auto"/>
          <w:highlight w:val="none"/>
          <w:lang w:val="en-US" w:eastAsia="zh-CN"/>
        </w:rPr>
        <w:t xml:space="preserve">除项目负责人外</w:t>
      </w:r>
      <w:r>
        <w:rPr>
          <w:rFonts w:hint="eastAsia"/>
          <w:b/>
          <w:bCs/>
          <w:color w:val="auto"/>
          <w:highlight w:val="none"/>
          <w:lang w:eastAsia="zh-CN"/>
        </w:rPr>
        <w:t xml:space="preserve">）</w:t>
      </w:r>
      <w:r>
        <w:rPr>
          <w:rFonts w:hint="eastAsia"/>
          <w:b/>
          <w:bCs/>
          <w:color w:val="auto"/>
          <w:highlight w:val="none"/>
        </w:rPr>
        <w:t xml:space="preserve">。</w:t>
      </w:r>
      <w:r/>
    </w:p>
    <w:p>
      <w:pPr>
        <w:pStyle w:val="973"/>
        <w:spacing w:after="0" w:line="500" w:lineRule="exact"/>
        <w:rPr>
          <w:rFonts w:ascii="宋体" w:hAnsi="宋体" w:cs="宋体"/>
          <w:b/>
          <w:bCs/>
          <w:color w:val="auto"/>
          <w:sz w:val="24"/>
          <w:highlight w:val="none"/>
        </w:rPr>
      </w:pPr>
      <w:r>
        <w:rPr>
          <w:rFonts w:hint="eastAsia" w:ascii="宋体" w:hAnsi="宋体" w:cs="宋体"/>
          <w:b/>
          <w:bCs/>
          <w:color w:val="auto"/>
          <w:sz w:val="24"/>
          <w:highlight w:val="none"/>
        </w:rPr>
        <w:t xml:space="preserve">五、其他要求：见《磋商文件》附件：6、《合同条款》。</w:t>
      </w:r>
      <w:r/>
    </w:p>
    <w:p>
      <w:pPr>
        <w:ind w:firstLine="2692"/>
        <w:pageBreakBefore/>
        <w:spacing w:line="0" w:lineRule="atLeast"/>
        <w:rPr>
          <w:rFonts w:ascii="宋体" w:hAnsi="宋体" w:cs="宋体"/>
          <w:b/>
          <w:bCs/>
          <w:color w:val="auto"/>
          <w:sz w:val="36"/>
          <w:highlight w:val="none"/>
        </w:rPr>
      </w:pPr>
      <w:r>
        <w:rPr>
          <w:rFonts w:hint="eastAsia" w:ascii="宋体" w:hAnsi="宋体" w:cs="宋体"/>
          <w:b/>
          <w:color w:val="auto"/>
          <w:sz w:val="36"/>
          <w:highlight w:val="none"/>
        </w:rPr>
        <w:t xml:space="preserve">3、磋商</w:t>
      </w:r>
      <w:r>
        <w:rPr>
          <w:rFonts w:hint="eastAsia" w:ascii="宋体" w:hAnsi="宋体" w:cs="宋体"/>
          <w:b/>
          <w:bCs/>
          <w:color w:val="auto"/>
          <w:sz w:val="36"/>
          <w:highlight w:val="none"/>
        </w:rPr>
        <w:t xml:space="preserve">报价表</w:t>
      </w:r>
      <w:r/>
    </w:p>
    <w:p>
      <w:pPr>
        <w:jc w:val="left"/>
        <w:spacing w:line="520" w:lineRule="exact"/>
        <w:rPr>
          <w:rFonts w:ascii="宋体" w:hAnsi="宋体" w:cs="宋体"/>
          <w:color w:val="auto"/>
          <w:sz w:val="24"/>
          <w:highlight w:val="none"/>
        </w:rPr>
      </w:pPr>
      <w:r>
        <w:rPr>
          <w:rFonts w:ascii="宋体" w:hAnsi="宋体" w:cs="宋体"/>
          <w:color w:val="auto"/>
          <w:sz w:val="24"/>
          <w:highlight w:val="none"/>
        </w:rPr>
      </w:r>
      <w:r/>
    </w:p>
    <w:p>
      <w:pPr>
        <w:jc w:val="left"/>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项目编号：</w:t>
      </w:r>
      <w:r/>
    </w:p>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本次为首次报价</w:t>
      </w:r>
      <w:r/>
    </w:p>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货币单位：人民币元</w:t>
      </w:r>
      <w:r/>
    </w:p>
    <w:tbl>
      <w:tblPr>
        <w:tblStyle w:val="900"/>
        <w:tblW w:w="4993" w:type="pct"/>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autofit"/>
        <w:tblCellMar>
          <w:left w:w="108" w:type="dxa"/>
          <w:top w:w="0" w:type="dxa"/>
          <w:right w:w="108" w:type="dxa"/>
          <w:bottom w:w="0" w:type="dxa"/>
        </w:tblCellMar>
        <w:tblLook w:val="04A0" w:firstRow="1" w:lastRow="0" w:firstColumn="1" w:lastColumn="0" w:noHBand="0" w:noVBand="1"/>
      </w:tblPr>
      <w:tblGrid>
        <w:gridCol w:w="4333"/>
        <w:gridCol w:w="1868"/>
        <w:gridCol w:w="2010"/>
        <w:gridCol w:w="1404"/>
      </w:tblGrid>
      <w:tr>
        <w:trPr>
          <w:cantSplit/>
          <w:jc w:val="center"/>
          <w:trHeight w:val="731"/>
        </w:trPr>
        <w:tc>
          <w:tcPr>
            <w:tcW w:w="2253" w:type="pct"/>
            <w:vAlign w:val="center"/>
            <w:textDirection w:val="lrTb"/>
            <w:noWrap w:val="false"/>
          </w:tcPr>
          <w:p>
            <w:pPr>
              <w:jc w:val="cente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项目名称</w:t>
            </w:r>
            <w:r/>
          </w:p>
        </w:tc>
        <w:tc>
          <w:tcPr>
            <w:tcW w:w="971" w:type="pct"/>
            <w:vAlign w:val="center"/>
            <w:textDirection w:val="lrTb"/>
            <w:noWrap w:val="false"/>
          </w:tcPr>
          <w:p>
            <w:pPr>
              <w:jc w:val="cente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项目内容</w:t>
            </w:r>
            <w:r/>
          </w:p>
        </w:tc>
        <w:tc>
          <w:tcPr>
            <w:tcW w:w="1044" w:type="pct"/>
            <w:vAlign w:val="center"/>
            <w:textDirection w:val="lrTb"/>
            <w:noWrap w:val="false"/>
          </w:tcPr>
          <w:p>
            <w:pPr>
              <w:jc w:val="cente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总价（小写）</w:t>
            </w:r>
            <w:r/>
          </w:p>
        </w:tc>
        <w:tc>
          <w:tcPr>
            <w:tcW w:w="730" w:type="pct"/>
            <w:vAlign w:val="center"/>
            <w:textDirection w:val="lrTb"/>
            <w:noWrap w:val="false"/>
          </w:tcPr>
          <w:p>
            <w:pPr>
              <w:jc w:val="cente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备注</w:t>
            </w:r>
            <w:r/>
          </w:p>
        </w:tc>
      </w:tr>
      <w:tr>
        <w:trPr>
          <w:cantSplit/>
          <w:jc w:val="center"/>
          <w:trHeight w:val="1260"/>
        </w:trPr>
        <w:tc>
          <w:tcPr>
            <w:tcW w:w="2253" w:type="pct"/>
            <w:vAlign w:val="center"/>
            <w:textDirection w:val="lrTb"/>
            <w:noWrap w:val="false"/>
          </w:tcPr>
          <w:p>
            <w:pPr>
              <w:jc w:val="center"/>
              <w:spacing w:line="520" w:lineRule="exact"/>
              <w:rPr>
                <w:rFonts w:ascii="宋体" w:hAnsi="宋体" w:cs="宋体"/>
                <w:color w:val="auto"/>
                <w:sz w:val="24"/>
                <w:highlight w:val="none"/>
              </w:rPr>
            </w:pPr>
            <w:r>
              <w:rPr>
                <w:rFonts w:hint="eastAsia" w:ascii="宋体" w:hAnsi="宋体" w:cs="宋体"/>
                <w:color w:val="auto"/>
                <w:sz w:val="24"/>
                <w:highlight w:val="none"/>
              </w:rPr>
              <w:t xml:space="preserve"> 徐州市自然资源和规划局徐州市综合交通体系规划（2025-2035年）</w:t>
            </w:r>
            <w:r/>
          </w:p>
        </w:tc>
        <w:tc>
          <w:tcPr>
            <w:tcW w:w="971" w:type="pct"/>
            <w:vAlign w:val="center"/>
            <w:textDirection w:val="lrTb"/>
            <w:noWrap w:val="false"/>
          </w:tcPr>
          <w:p>
            <w:pPr>
              <w:jc w:val="center"/>
              <w:spacing w:line="520" w:lineRule="exact"/>
              <w:rPr>
                <w:rFonts w:ascii="宋体" w:hAnsi="宋体" w:cs="宋体"/>
                <w:color w:val="auto"/>
                <w:sz w:val="24"/>
                <w:highlight w:val="none"/>
              </w:rPr>
            </w:pPr>
            <w:r>
              <w:rPr>
                <w:rFonts w:hint="eastAsia" w:ascii="宋体" w:hAnsi="宋体" w:cs="宋体"/>
                <w:color w:val="auto"/>
                <w:sz w:val="24"/>
                <w:highlight w:val="none"/>
              </w:rPr>
              <w:t xml:space="preserve">详见</w:t>
            </w:r>
            <w:r>
              <w:rPr>
                <w:rFonts w:hint="eastAsia" w:ascii="宋体" w:hAnsi="宋体" w:cs="宋体"/>
                <w:bCs/>
                <w:color w:val="auto"/>
                <w:sz w:val="24"/>
                <w:highlight w:val="none"/>
              </w:rPr>
              <w:t xml:space="preserve">响应文件</w:t>
            </w:r>
            <w:r/>
          </w:p>
        </w:tc>
        <w:tc>
          <w:tcPr>
            <w:tcW w:w="1044" w:type="pct"/>
            <w:vAlign w:val="center"/>
            <w:textDirection w:val="lrTb"/>
            <w:noWrap w:val="false"/>
          </w:tcPr>
          <w:p>
            <w:pPr>
              <w:jc w:val="center"/>
              <w:spacing w:line="520" w:lineRule="exact"/>
              <w:rPr>
                <w:rFonts w:ascii="宋体" w:hAnsi="宋体" w:cs="宋体"/>
                <w:color w:val="auto"/>
                <w:sz w:val="24"/>
                <w:highlight w:val="none"/>
              </w:rPr>
            </w:pPr>
            <w:r>
              <w:rPr>
                <w:rFonts w:ascii="宋体" w:hAnsi="宋体" w:cs="宋体"/>
                <w:color w:val="auto"/>
                <w:sz w:val="24"/>
                <w:highlight w:val="none"/>
              </w:rPr>
            </w:r>
            <w:r/>
          </w:p>
        </w:tc>
        <w:tc>
          <w:tcPr>
            <w:tcW w:w="730" w:type="pct"/>
            <w:vAlign w:val="center"/>
            <w:vMerge w:val="restart"/>
            <w:textDirection w:val="lrTb"/>
            <w:noWrap w:val="false"/>
          </w:tcPr>
          <w:p>
            <w:pPr>
              <w:jc w:val="center"/>
              <w:spacing w:line="520" w:lineRule="exact"/>
              <w:rPr>
                <w:rFonts w:ascii="宋体" w:hAnsi="宋体" w:cs="宋体"/>
                <w:color w:val="auto"/>
                <w:sz w:val="24"/>
                <w:highlight w:val="none"/>
              </w:rPr>
            </w:pPr>
            <w:r>
              <w:rPr>
                <w:rFonts w:ascii="宋体" w:hAnsi="宋体" w:cs="宋体"/>
                <w:color w:val="auto"/>
                <w:sz w:val="24"/>
                <w:highlight w:val="none"/>
              </w:rPr>
            </w:r>
            <w:r/>
          </w:p>
        </w:tc>
      </w:tr>
      <w:tr>
        <w:trPr>
          <w:cantSplit/>
          <w:jc w:val="center"/>
          <w:trHeight w:val="707"/>
        </w:trPr>
        <w:tc>
          <w:tcPr>
            <w:tcW w:w="2253" w:type="pct"/>
            <w:vAlign w:val="center"/>
            <w:textDirection w:val="lrTb"/>
            <w:noWrap w:val="false"/>
          </w:tcPr>
          <w:p>
            <w:pPr>
              <w:jc w:val="center"/>
              <w:spacing w:line="520" w:lineRule="exact"/>
              <w:rPr>
                <w:rFonts w:ascii="宋体" w:hAnsi="宋体" w:cs="宋体"/>
                <w:color w:val="auto"/>
                <w:sz w:val="24"/>
                <w:highlight w:val="none"/>
              </w:rPr>
            </w:pPr>
            <w:r>
              <w:rPr>
                <w:rFonts w:hint="eastAsia" w:ascii="宋体" w:hAnsi="宋体" w:cs="宋体"/>
                <w:color w:val="auto"/>
                <w:sz w:val="24"/>
                <w:highlight w:val="none"/>
              </w:rPr>
              <w:t xml:space="preserve">总价（大写）：</w:t>
            </w:r>
            <w:r/>
          </w:p>
        </w:tc>
        <w:tc>
          <w:tcPr>
            <w:gridSpan w:val="2"/>
            <w:tcW w:w="2016" w:type="pct"/>
            <w:vAlign w:val="center"/>
            <w:textDirection w:val="lrTb"/>
            <w:noWrap w:val="false"/>
          </w:tcPr>
          <w:p>
            <w:pPr>
              <w:jc w:val="center"/>
              <w:spacing w:line="520" w:lineRule="exact"/>
              <w:rPr>
                <w:rFonts w:ascii="宋体" w:hAnsi="宋体" w:cs="宋体"/>
                <w:color w:val="auto"/>
                <w:sz w:val="24"/>
                <w:highlight w:val="none"/>
              </w:rPr>
            </w:pPr>
            <w:r>
              <w:rPr>
                <w:rFonts w:ascii="宋体" w:hAnsi="宋体" w:cs="宋体"/>
                <w:color w:val="auto"/>
                <w:sz w:val="24"/>
                <w:highlight w:val="none"/>
              </w:rPr>
            </w:r>
            <w:r/>
          </w:p>
        </w:tc>
        <w:tc>
          <w:tcPr>
            <w:tcW w:w="730" w:type="pct"/>
            <w:vAlign w:val="center"/>
            <w:vMerge w:val="continue"/>
            <w:textDirection w:val="lrTb"/>
            <w:noWrap w:val="false"/>
          </w:tcPr>
          <w:p>
            <w:pPr>
              <w:jc w:val="center"/>
              <w:spacing w:line="520" w:lineRule="exact"/>
              <w:rPr>
                <w:rFonts w:ascii="宋体" w:hAnsi="宋体" w:cs="宋体"/>
                <w:color w:val="auto"/>
                <w:sz w:val="24"/>
                <w:highlight w:val="none"/>
              </w:rPr>
            </w:pPr>
            <w:r>
              <w:rPr>
                <w:rFonts w:ascii="宋体" w:hAnsi="宋体" w:cs="宋体"/>
                <w:color w:val="auto"/>
                <w:sz w:val="24"/>
                <w:highlight w:val="none"/>
              </w:rPr>
            </w:r>
            <w:r/>
          </w:p>
        </w:tc>
      </w:tr>
    </w:tbl>
    <w:p>
      <w:pPr>
        <w:spacing w:line="520" w:lineRule="exact"/>
        <w:rPr>
          <w:rFonts w:ascii="宋体" w:hAnsi="宋体" w:cs="宋体"/>
          <w:b/>
          <w:bCs/>
          <w:color w:val="auto"/>
          <w:sz w:val="24"/>
          <w:highlight w:val="none"/>
        </w:rPr>
      </w:pPr>
      <w:r>
        <w:rPr>
          <w:rFonts w:hint="eastAsia" w:ascii="宋体" w:hAnsi="宋体" w:cs="宋体"/>
          <w:b/>
          <w:bCs/>
          <w:color w:val="auto"/>
          <w:sz w:val="24"/>
          <w:highlight w:val="none"/>
        </w:rPr>
        <w:t xml:space="preserve">供应商承诺：本报价为供应商本企业提供的服务。</w:t>
      </w:r>
      <w:r/>
    </w:p>
    <w:p>
      <w:pPr>
        <w:spacing w:line="520" w:lineRule="exact"/>
        <w:rPr>
          <w:rFonts w:ascii="宋体" w:hAnsi="宋体" w:cs="宋体"/>
          <w:color w:val="auto"/>
          <w:sz w:val="24"/>
          <w:highlight w:val="none"/>
        </w:rPr>
      </w:pPr>
      <w:r>
        <w:rPr>
          <w:rFonts w:hint="eastAsia" w:ascii="宋体" w:hAnsi="宋体" w:cs="宋体"/>
          <w:color w:val="auto"/>
          <w:sz w:val="24"/>
          <w:highlight w:val="none"/>
        </w:rPr>
        <w:t xml:space="preserve">报价说明：</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1、报价应包括全部内容，以及为完成上述内容所需的全部费用。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2、报价以总价为准，大小写不一致以大写为准。</w:t>
      </w:r>
      <w:r/>
    </w:p>
    <w:p>
      <w:pPr>
        <w:pStyle w:val="973"/>
        <w:rPr>
          <w:rFonts w:ascii="宋体" w:hAnsi="宋体" w:cs="宋体"/>
          <w:color w:val="auto"/>
          <w:highlight w:val="none"/>
        </w:rPr>
      </w:pPr>
      <w:r>
        <w:rPr>
          <w:rFonts w:ascii="宋体" w:hAnsi="宋体" w:cs="宋体"/>
          <w:color w:val="auto"/>
          <w:highlight w:val="none"/>
        </w:rPr>
      </w:r>
      <w:r/>
    </w:p>
    <w:p>
      <w:pPr>
        <w:ind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480"/>
        <w:spacing w:line="520" w:lineRule="exact"/>
        <w:rPr>
          <w:rFonts w:ascii="宋体" w:hAnsi="宋体" w:cs="宋体"/>
          <w:color w:val="auto"/>
          <w:sz w:val="24"/>
          <w:highlight w:val="none"/>
        </w:rPr>
      </w:pPr>
      <w:r>
        <w:rPr>
          <w:rFonts w:ascii="宋体" w:hAnsi="宋体" w:cs="宋体"/>
          <w:color w:val="auto"/>
          <w:sz w:val="24"/>
          <w:highlight w:val="none"/>
        </w:rPr>
      </w:r>
      <w:r/>
    </w:p>
    <w:p>
      <w:pPr>
        <w:ind w:right="29" w:firstLine="480"/>
        <w:spacing w:line="520" w:lineRule="exact"/>
        <w:rPr>
          <w:rFonts w:ascii="宋体" w:hAnsi="宋体" w:cs="宋体"/>
          <w:color w:val="auto"/>
          <w:sz w:val="24"/>
          <w:highlight w:val="none"/>
        </w:rPr>
        <w:sectPr>
          <w:footnotePr/>
          <w:endnotePr/>
          <w:type w:val="nextPage"/>
          <w:pgSz w:w="11906" w:h="16838" w:orient="portrait"/>
          <w:pgMar w:top="1134" w:right="1247" w:bottom="680" w:left="1247" w:header="851" w:footer="992" w:gutter="0"/>
          <w:cols w:num="1" w:sep="0" w:space="1701" w:equalWidth="1"/>
          <w:docGrid w:linePitch="360"/>
          <w:titlePg/>
        </w:sectPr>
      </w:pPr>
      <w:r>
        <w:rPr>
          <w:rFonts w:hint="eastAsia" w:ascii="宋体" w:hAnsi="宋体" w:cs="宋体"/>
          <w:color w:val="auto"/>
          <w:sz w:val="24"/>
          <w:highlight w:val="none"/>
        </w:rPr>
        <w:t xml:space="preserve">日期：   年  月  日</w:t>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4、分项价格表</w:t>
      </w:r>
      <w:r/>
    </w:p>
    <w:p>
      <w:pPr>
        <w:jc w:val="center"/>
        <w:rPr>
          <w:rFonts w:ascii="宋体" w:hAnsi="宋体" w:cs="宋体"/>
          <w:b/>
          <w:bCs/>
          <w:color w:val="auto"/>
          <w:sz w:val="24"/>
          <w:highlight w:val="none"/>
        </w:rPr>
      </w:pPr>
      <w:r>
        <w:rPr>
          <w:rFonts w:ascii="宋体" w:hAnsi="宋体" w:cs="宋体"/>
          <w:b/>
          <w:bCs/>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本次为首次报价</w:t>
      </w:r>
      <w:r/>
    </w:p>
    <w:p>
      <w:pPr>
        <w:jc w:val="left"/>
        <w:rPr>
          <w:rFonts w:ascii="宋体" w:hAnsi="宋体" w:cs="宋体"/>
          <w:color w:val="auto"/>
          <w:sz w:val="24"/>
          <w:highlight w:val="none"/>
          <w:u w:val="single"/>
        </w:rPr>
      </w:pP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p>
    <w:p>
      <w:pPr>
        <w:jc w:val="left"/>
        <w:rPr>
          <w:rFonts w:ascii="宋体" w:hAnsi="宋体" w:cs="宋体"/>
          <w:color w:val="auto"/>
          <w:sz w:val="24"/>
          <w:highlight w:val="none"/>
        </w:rPr>
      </w:pPr>
      <w:r>
        <w:rPr>
          <w:rFonts w:hint="eastAsia" w:ascii="宋体" w:hAnsi="宋体" w:cs="宋体"/>
          <w:color w:val="auto"/>
          <w:sz w:val="24"/>
          <w:highlight w:val="none"/>
        </w:rPr>
        <w:t xml:space="preserve">项目名称：</w:t>
      </w:r>
      <w:r>
        <w:rPr>
          <w:rFonts w:hint="eastAsia" w:ascii="宋体" w:hAnsi="宋体" w:cs="宋体"/>
          <w:color w:val="auto"/>
          <w:sz w:val="24"/>
          <w:highlight w:val="none"/>
          <w:u w:val="single"/>
        </w:rPr>
        <w:t xml:space="preserve">               </w:t>
      </w:r>
      <w:r/>
    </w:p>
    <w:p>
      <w:pPr>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24"/>
          <w:highlight w:val="none"/>
        </w:rPr>
      </w:pPr>
      <w:r>
        <w:rPr>
          <w:rFonts w:ascii="宋体" w:hAnsi="宋体" w:cs="宋体"/>
          <w:color w:val="auto"/>
          <w:sz w:val="24"/>
          <w:highlight w:val="none"/>
        </w:rPr>
      </w:r>
      <w:r/>
    </w:p>
    <w:p>
      <w:pPr>
        <w:pStyle w:val="909"/>
        <w:rPr>
          <w:rFonts w:ascii="宋体" w:hAnsi="宋体" w:cs="宋体"/>
          <w:color w:val="auto"/>
          <w:highlight w:val="none"/>
        </w:rPr>
      </w:pPr>
      <w:r>
        <w:rPr>
          <w:rFonts w:ascii="宋体" w:hAnsi="宋体" w:cs="宋体"/>
          <w:color w:val="auto"/>
          <w:highlight w:val="none"/>
        </w:rPr>
      </w:r>
      <w:r/>
    </w:p>
    <w:p>
      <w:pPr>
        <w:jc w:val="center"/>
        <w:rPr>
          <w:rFonts w:ascii="宋体" w:hAnsi="宋体" w:cs="宋体"/>
          <w:color w:val="auto"/>
          <w:sz w:val="24"/>
          <w:highlight w:val="none"/>
        </w:rPr>
      </w:pPr>
      <w:r>
        <w:rPr>
          <w:rFonts w:hint="eastAsia" w:ascii="宋体" w:hAnsi="宋体" w:cs="宋体"/>
          <w:color w:val="auto"/>
          <w:sz w:val="24"/>
          <w:highlight w:val="none"/>
        </w:rPr>
        <w:t xml:space="preserve">格式自制</w:t>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供应商（电子签章）：</w:t>
      </w:r>
      <w:r/>
    </w:p>
    <w:p>
      <w:pPr>
        <w:ind w:right="29"/>
        <w:rPr>
          <w:rFonts w:ascii="宋体" w:hAnsi="宋体" w:cs="宋体"/>
          <w:color w:val="auto"/>
          <w:sz w:val="24"/>
          <w:highlight w:val="none"/>
        </w:rPr>
      </w:pPr>
      <w:r>
        <w:rPr>
          <w:rFonts w:ascii="宋体" w:hAnsi="宋体" w:cs="宋体"/>
          <w:color w:val="auto"/>
          <w:sz w:val="24"/>
          <w:highlight w:val="none"/>
        </w:rPr>
      </w:r>
      <w:r/>
    </w:p>
    <w:p>
      <w:pPr>
        <w:ind w:right="29"/>
        <w:rPr>
          <w:rFonts w:ascii="宋体" w:hAnsi="宋体" w:cs="宋体"/>
          <w:color w:val="auto"/>
          <w:sz w:val="24"/>
          <w:highlight w:val="none"/>
        </w:rPr>
      </w:pPr>
      <w:r>
        <w:rPr>
          <w:rFonts w:hint="eastAsia" w:ascii="宋体" w:hAnsi="宋体" w:cs="宋体"/>
          <w:color w:val="auto"/>
          <w:sz w:val="24"/>
          <w:highlight w:val="none"/>
        </w:rPr>
        <w:t xml:space="preserve">                          日期：  年  月  日</w:t>
      </w:r>
      <w:r/>
    </w:p>
    <w:p>
      <w:pPr>
        <w:rPr>
          <w:rFonts w:ascii="宋体" w:hAnsi="宋体" w:cs="宋体"/>
          <w:color w:val="auto"/>
          <w:sz w:val="28"/>
          <w:szCs w:val="28"/>
          <w:highlight w:val="none"/>
          <w:u w:val="single"/>
        </w:rPr>
      </w:pPr>
      <w:r>
        <w:rPr>
          <w:rFonts w:ascii="宋体" w:hAnsi="宋体" w:cs="宋体"/>
          <w:color w:val="auto"/>
          <w:sz w:val="28"/>
          <w:szCs w:val="28"/>
          <w:highlight w:val="none"/>
          <w:u w:val="single"/>
        </w:rPr>
      </w:r>
      <w:r/>
    </w:p>
    <w:p>
      <w:pPr>
        <w:rPr>
          <w:rFonts w:ascii="宋体" w:hAnsi="宋体" w:cs="宋体"/>
          <w:color w:val="auto"/>
          <w:highlight w:val="none"/>
        </w:rPr>
      </w:pPr>
      <w:r>
        <w:rPr>
          <w:rFonts w:ascii="宋体" w:hAnsi="宋体" w:cs="宋体"/>
          <w:color w:val="auto"/>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ascii="宋体" w:hAnsi="宋体" w:cs="宋体"/>
          <w:color w:val="auto"/>
          <w:sz w:val="24"/>
          <w:highlight w:val="none"/>
        </w:rPr>
      </w:r>
      <w:r/>
    </w:p>
    <w:p>
      <w:pPr>
        <w:rPr>
          <w:rFonts w:ascii="宋体" w:hAnsi="宋体" w:cs="宋体"/>
          <w:color w:val="auto"/>
          <w:sz w:val="24"/>
          <w:highlight w:val="none"/>
        </w:rPr>
      </w:pPr>
      <w:r>
        <w:rPr>
          <w:rFonts w:hint="eastAsia" w:ascii="宋体" w:hAnsi="宋体" w:cs="宋体"/>
          <w:color w:val="auto"/>
          <w:sz w:val="24"/>
          <w:highlight w:val="none"/>
        </w:rPr>
        <w:t xml:space="preserve">注：供应商对以上数据的真实性负责。</w:t>
      </w:r>
      <w:r/>
    </w:p>
    <w:p>
      <w:pPr>
        <w:rPr>
          <w:rFonts w:ascii="宋体" w:hAnsi="宋体" w:cs="宋体"/>
          <w:b/>
          <w:i/>
          <w:color w:val="auto"/>
          <w:sz w:val="24"/>
          <w:highlight w:val="none"/>
          <w:u w:val="single"/>
        </w:rPr>
      </w:pPr>
      <w:r>
        <w:rPr>
          <w:rFonts w:hint="eastAsia" w:ascii="宋体" w:hAnsi="宋体" w:cs="宋体"/>
          <w:b/>
          <w:i/>
          <w:color w:val="auto"/>
          <w:sz w:val="24"/>
          <w:highlight w:val="none"/>
          <w:u w:val="single"/>
        </w:rPr>
        <w:t xml:space="preserve">采购人或采购代理机构有权将以上内容进行公示。</w:t>
      </w:r>
      <w:r/>
    </w:p>
    <w:p>
      <w:pPr>
        <w:jc w:val="center"/>
        <w:rPr>
          <w:rFonts w:ascii="宋体" w:hAnsi="宋体" w:cs="宋体"/>
          <w:b/>
          <w:bCs/>
          <w:color w:val="auto"/>
          <w:sz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bCs/>
          <w:color w:val="auto"/>
          <w:sz w:val="36"/>
          <w:highlight w:val="none"/>
        </w:rPr>
      </w:r>
      <w:r/>
    </w:p>
    <w:p>
      <w:pPr>
        <w:jc w:val="center"/>
        <w:rPr>
          <w:rFonts w:ascii="宋体" w:hAnsi="宋体" w:cs="宋体"/>
          <w:b/>
          <w:bCs/>
          <w:color w:val="auto"/>
          <w:sz w:val="36"/>
          <w:highlight w:val="none"/>
        </w:rPr>
      </w:pPr>
      <w:r>
        <w:rPr>
          <w:rFonts w:hint="eastAsia" w:ascii="宋体" w:hAnsi="宋体" w:cs="宋体"/>
          <w:b/>
          <w:bCs/>
          <w:color w:val="auto"/>
          <w:sz w:val="36"/>
          <w:highlight w:val="none"/>
        </w:rPr>
        <w:t xml:space="preserve">5、偏离表</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项目编号：</w:t>
      </w:r>
      <w:r/>
    </w:p>
    <w:p>
      <w:pPr>
        <w:jc w:val="left"/>
        <w:spacing w:line="520" w:lineRule="exact"/>
        <w:rPr>
          <w:rFonts w:ascii="宋体" w:hAnsi="宋体" w:cs="宋体"/>
          <w:color w:val="auto"/>
          <w:sz w:val="24"/>
          <w:highlight w:val="none"/>
        </w:rPr>
      </w:pPr>
      <w:r>
        <w:rPr>
          <w:rFonts w:hint="eastAsia" w:ascii="宋体" w:hAnsi="宋体" w:cs="宋体"/>
          <w:color w:val="auto"/>
          <w:sz w:val="24"/>
          <w:highlight w:val="none"/>
        </w:rPr>
        <w:t xml:space="preserve">项目名称：</w:t>
      </w:r>
      <w:r/>
    </w:p>
    <w:tbl>
      <w:tblPr>
        <w:tblStyle w:val="900"/>
        <w:tblW w:w="95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7"/>
        <w:gridCol w:w="1350"/>
        <w:gridCol w:w="2446"/>
        <w:gridCol w:w="1575"/>
        <w:gridCol w:w="1351"/>
        <w:gridCol w:w="2123"/>
      </w:tblGrid>
      <w:tr>
        <w:trPr>
          <w:jc w:val="center"/>
          <w:trHeight w:val="414"/>
        </w:trPr>
        <w:tc>
          <w:tcPr>
            <w:tcW w:w="727"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序号</w:t>
            </w:r>
            <w:r/>
          </w:p>
        </w:tc>
        <w:tc>
          <w:tcPr>
            <w:tcW w:w="1350"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偏离内容</w:t>
            </w:r>
            <w:r/>
          </w:p>
        </w:tc>
        <w:tc>
          <w:tcPr>
            <w:tcW w:w="2446"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竞争性磋商文件（含竞争性磋商文件的澄清或者修改）的要求</w:t>
            </w:r>
            <w:r/>
          </w:p>
        </w:tc>
        <w:tc>
          <w:tcPr>
            <w:tcW w:w="1575"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olor w:val="auto"/>
                <w:sz w:val="24"/>
                <w:highlight w:val="none"/>
              </w:rPr>
              <w:t xml:space="preserve">首次响应文件中的内容</w:t>
            </w:r>
            <w:r/>
          </w:p>
        </w:tc>
        <w:tc>
          <w:tcPr>
            <w:tcW w:w="1351"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（正/负/无）偏离</w:t>
            </w:r>
            <w:r/>
          </w:p>
        </w:tc>
        <w:tc>
          <w:tcPr>
            <w:tcW w:w="2123" w:type="dxa"/>
            <w:vAlign w:val="center"/>
            <w:textDirection w:val="lrTb"/>
            <w:noWrap w:val="false"/>
          </w:tcPr>
          <w:p>
            <w:pPr>
              <w:jc w:val="center"/>
              <w:rPr>
                <w:rFonts w:ascii="宋体" w:hAnsi="宋体" w:cs="宋体"/>
                <w:caps/>
                <w:color w:val="auto"/>
                <w:sz w:val="24"/>
                <w:highlight w:val="none"/>
              </w:rPr>
            </w:pPr>
            <w:r>
              <w:rPr>
                <w:rFonts w:hint="eastAsia" w:ascii="宋体" w:hAnsi="宋体" w:cs="宋体"/>
                <w:caps/>
                <w:color w:val="auto"/>
                <w:sz w:val="24"/>
                <w:highlight w:val="none"/>
              </w:rPr>
              <w:t xml:space="preserve">说明</w:t>
            </w:r>
            <w:r/>
          </w:p>
        </w:tc>
      </w:tr>
      <w:tr>
        <w:trPr>
          <w:jc w:val="center"/>
          <w:trHeight w:val="794"/>
        </w:trPr>
        <w:tc>
          <w:tcPr>
            <w:tcW w:w="727"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350"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446"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575"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1351"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c>
          <w:tcPr>
            <w:tcW w:w="2123" w:type="dxa"/>
            <w:vAlign w:val="center"/>
            <w:textDirection w:val="lrTb"/>
            <w:noWrap w:val="false"/>
          </w:tcPr>
          <w:p>
            <w:pPr>
              <w:jc w:val="center"/>
              <w:rPr>
                <w:rFonts w:ascii="宋体" w:hAnsi="宋体" w:cs="宋体"/>
                <w:caps/>
                <w:color w:val="auto"/>
                <w:sz w:val="24"/>
                <w:highlight w:val="none"/>
              </w:rPr>
            </w:pPr>
            <w:r>
              <w:rPr>
                <w:rFonts w:ascii="宋体" w:hAnsi="宋体" w:cs="宋体"/>
                <w:caps/>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r>
        <w:trPr>
          <w:jc w:val="center"/>
          <w:trHeight w:val="794"/>
        </w:trPr>
        <w:tc>
          <w:tcPr>
            <w:tcW w:w="727"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0"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446"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575"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1351"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c>
          <w:tcPr>
            <w:tcW w:w="2123" w:type="dxa"/>
            <w:vAlign w:val="center"/>
            <w:textDirection w:val="lrTb"/>
            <w:noWrap w:val="false"/>
          </w:tcPr>
          <w:p>
            <w:pPr>
              <w:jc w:val="center"/>
              <w:rPr>
                <w:rFonts w:ascii="宋体" w:hAnsi="宋体" w:cs="宋体"/>
                <w:color w:val="auto"/>
                <w:sz w:val="24"/>
                <w:highlight w:val="none"/>
              </w:rPr>
            </w:pPr>
            <w:r>
              <w:rPr>
                <w:rFonts w:ascii="宋体" w:hAnsi="宋体" w:cs="宋体"/>
                <w:color w:val="auto"/>
                <w:sz w:val="24"/>
                <w:highlight w:val="none"/>
              </w:rPr>
            </w:r>
            <w:r/>
          </w:p>
        </w:tc>
      </w:tr>
    </w:tbl>
    <w:p>
      <w:pPr>
        <w:spacing w:line="520" w:lineRule="exact"/>
        <w:rPr>
          <w:rFonts w:ascii="宋体" w:hAnsi="宋体" w:cs="宋体"/>
          <w:color w:val="auto"/>
          <w:sz w:val="24"/>
          <w:highlight w:val="none"/>
        </w:rPr>
      </w:pPr>
      <w:r>
        <w:rPr>
          <w:rFonts w:hint="eastAsia" w:ascii="宋体" w:hAnsi="宋体" w:cs="宋体"/>
          <w:color w:val="auto"/>
          <w:sz w:val="24"/>
          <w:highlight w:val="none"/>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spacing w:line="520" w:lineRule="exact"/>
        <w:rPr>
          <w:rFonts w:ascii="宋体" w:hAnsi="宋体" w:cs="宋体"/>
          <w:color w:val="auto"/>
          <w:sz w:val="30"/>
          <w:szCs w:val="30"/>
          <w:highlight w:val="none"/>
        </w:rPr>
      </w:pPr>
      <w:r>
        <w:rPr>
          <w:rFonts w:ascii="宋体" w:hAnsi="宋体" w:cs="宋体"/>
          <w:color w:val="auto"/>
          <w:sz w:val="30"/>
          <w:szCs w:val="30"/>
          <w:highlight w:val="none"/>
        </w:rPr>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spacing w:line="520" w:lineRule="exact"/>
        <w:rPr>
          <w:rFonts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jc w:val="center"/>
        <w:spacing w:line="360" w:lineRule="exact"/>
        <w:rPr>
          <w:rFonts w:ascii="宋体" w:hAnsi="宋体" w:cs="宋体"/>
          <w:b/>
          <w:color w:val="auto"/>
          <w:sz w:val="36"/>
          <w:highlight w:val="none"/>
        </w:rPr>
      </w:pPr>
      <w:r>
        <w:rPr>
          <w:rFonts w:hint="eastAsia" w:ascii="宋体" w:hAnsi="宋体" w:cs="宋体"/>
          <w:b/>
          <w:color w:val="auto"/>
          <w:sz w:val="36"/>
          <w:highlight w:val="none"/>
        </w:rPr>
        <w:br w:type="page" w:clear="all"/>
      </w:r>
      <w:r/>
    </w:p>
    <w:p>
      <w:pPr>
        <w:contextualSpacing/>
        <w:jc w:val="center"/>
        <w:rPr>
          <w:rFonts w:ascii="宋体" w:hAnsi="宋体" w:cs="宋体"/>
          <w:b/>
          <w:color w:val="auto"/>
          <w:sz w:val="36"/>
          <w:highlight w:val="none"/>
        </w:rPr>
      </w:pPr>
      <w:r/>
      <w:bookmarkStart w:id="14" w:name="OLE_LINK3"/>
      <w:r/>
      <w:bookmarkStart w:id="15" w:name="OLE_LINK2"/>
      <w:r>
        <w:rPr>
          <w:rFonts w:hint="eastAsia" w:ascii="宋体" w:hAnsi="宋体" w:cs="宋体"/>
          <w:b/>
          <w:color w:val="auto"/>
          <w:sz w:val="36"/>
          <w:highlight w:val="none"/>
        </w:rPr>
        <w:t xml:space="preserve">6、拟签订的合同文本</w:t>
      </w:r>
      <w:r/>
    </w:p>
    <w:p>
      <w:pPr>
        <w:pStyle w:val="1093"/>
        <w:spacing w:line="360" w:lineRule="auto"/>
        <w:rPr>
          <w:rFonts w:ascii="宋体" w:hAnsi="宋体" w:cs="宋体"/>
          <w:b/>
          <w:color w:val="auto"/>
          <w:sz w:val="40"/>
          <w:szCs w:val="40"/>
          <w:highlight w:val="none"/>
        </w:rPr>
      </w:pPr>
      <w:r>
        <w:rPr>
          <w:rFonts w:ascii="宋体" w:hAnsi="宋体" w:cs="宋体"/>
          <w:b/>
          <w:color w:val="auto"/>
          <w:sz w:val="40"/>
          <w:szCs w:val="40"/>
          <w:highlight w:val="none"/>
        </w:rPr>
      </w:r>
      <w:r/>
    </w:p>
    <w:p>
      <w:pPr>
        <w:pStyle w:val="1093"/>
        <w:ind w:firstLine="442"/>
        <w:jc w:val="center"/>
        <w:spacing w:line="360" w:lineRule="auto"/>
        <w:rPr>
          <w:rFonts w:ascii="宋体" w:hAnsi="宋体" w:cs="宋体"/>
          <w:b/>
          <w:color w:val="auto"/>
          <w:sz w:val="40"/>
          <w:szCs w:val="40"/>
          <w:highlight w:val="none"/>
        </w:rPr>
      </w:pPr>
      <w:r>
        <w:rPr>
          <w:rFonts w:hint="eastAsia" w:ascii="宋体" w:hAnsi="宋体" w:cs="宋体"/>
          <w:b/>
          <w:color w:val="auto"/>
          <w:sz w:val="40"/>
          <w:szCs w:val="40"/>
          <w:highlight w:val="none"/>
        </w:rPr>
        <w:t xml:space="preserve">徐州市自然资源和规划局徐州市综合交通体系规划（2025-2035年）</w:t>
      </w:r>
      <w:r/>
    </w:p>
    <w:p>
      <w:pPr>
        <w:pStyle w:val="1093"/>
        <w:ind w:firstLine="442"/>
        <w:jc w:val="center"/>
        <w:spacing w:line="360" w:lineRule="auto"/>
        <w:rPr>
          <w:rFonts w:ascii="宋体" w:hAnsi="宋体" w:cs="宋体"/>
          <w:b/>
          <w:color w:val="auto"/>
          <w:sz w:val="40"/>
          <w:szCs w:val="40"/>
          <w:highlight w:val="none"/>
        </w:rPr>
      </w:pPr>
      <w:r>
        <w:rPr>
          <w:rFonts w:ascii="宋体" w:hAnsi="宋体" w:cs="宋体"/>
          <w:b/>
          <w:color w:val="auto"/>
          <w:sz w:val="40"/>
          <w:szCs w:val="40"/>
          <w:highlight w:val="none"/>
        </w:rPr>
      </w:r>
      <w:r/>
    </w:p>
    <w:p>
      <w:pPr>
        <w:pStyle w:val="1093"/>
        <w:ind w:firstLine="442"/>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项</w:t>
      </w:r>
      <w:r/>
    </w:p>
    <w:p>
      <w:pPr>
        <w:pStyle w:val="1093"/>
        <w:ind w:firstLine="442"/>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目</w:t>
      </w:r>
      <w:r/>
    </w:p>
    <w:p>
      <w:pPr>
        <w:pStyle w:val="1093"/>
        <w:ind w:firstLine="442"/>
        <w:jc w:val="center"/>
        <w:spacing w:line="360" w:lineRule="auto"/>
        <w:rPr>
          <w:rFonts w:ascii="宋体" w:hAnsi="宋体" w:cs="宋体"/>
          <w:b/>
          <w:color w:val="auto"/>
          <w:sz w:val="52"/>
          <w:szCs w:val="52"/>
          <w:highlight w:val="none"/>
        </w:rPr>
      </w:pPr>
      <w:r>
        <w:rPr>
          <w:rFonts w:hint="eastAsia" w:ascii="宋体" w:hAnsi="宋体" w:cs="宋体"/>
          <w:b/>
          <w:color w:val="auto"/>
          <w:sz w:val="52"/>
          <w:szCs w:val="52"/>
          <w:highlight w:val="none"/>
        </w:rPr>
        <w:t xml:space="preserve">合</w:t>
      </w:r>
      <w:r/>
    </w:p>
    <w:p>
      <w:pPr>
        <w:pStyle w:val="1093"/>
        <w:ind w:firstLine="442"/>
        <w:jc w:val="center"/>
        <w:spacing w:line="360" w:lineRule="auto"/>
        <w:rPr>
          <w:rFonts w:ascii="宋体" w:hAnsi="宋体" w:cs="宋体"/>
          <w:b/>
          <w:color w:val="auto"/>
          <w:sz w:val="28"/>
          <w:szCs w:val="28"/>
          <w:highlight w:val="none"/>
        </w:rPr>
      </w:pPr>
      <w:r>
        <w:rPr>
          <w:rFonts w:hint="eastAsia" w:ascii="宋体" w:hAnsi="宋体" w:cs="宋体"/>
          <w:b/>
          <w:color w:val="auto"/>
          <w:sz w:val="52"/>
          <w:szCs w:val="52"/>
          <w:highlight w:val="none"/>
        </w:rPr>
        <w:t xml:space="preserve">同</w:t>
      </w:r>
      <w:r/>
    </w:p>
    <w:p>
      <w:pPr>
        <w:pStyle w:val="1093"/>
        <w:spacing w:line="360" w:lineRule="auto"/>
        <w:rPr>
          <w:rFonts w:ascii="宋体" w:hAnsi="宋体" w:cs="宋体"/>
          <w:b/>
          <w:color w:val="auto"/>
          <w:sz w:val="28"/>
          <w:szCs w:val="28"/>
          <w:highlight w:val="none"/>
        </w:rPr>
      </w:pPr>
      <w:r>
        <w:rPr>
          <w:rFonts w:ascii="宋体" w:hAnsi="宋体" w:cs="宋体"/>
          <w:b/>
          <w:color w:val="auto"/>
          <w:sz w:val="28"/>
          <w:szCs w:val="28"/>
          <w:highlight w:val="none"/>
        </w:rPr>
      </w:r>
      <w:r/>
    </w:p>
    <w:p>
      <w:pPr>
        <w:pStyle w:val="1093"/>
        <w:ind w:firstLine="562"/>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甲方：</w:t>
      </w:r>
      <w:r>
        <w:rPr>
          <w:rFonts w:hint="eastAsia" w:ascii="宋体" w:hAnsi="宋体" w:cs="宋体"/>
          <w:b/>
          <w:color w:val="auto"/>
          <w:sz w:val="28"/>
          <w:szCs w:val="28"/>
          <w:highlight w:val="none"/>
          <w:u w:val="single"/>
        </w:rPr>
        <w:t xml:space="preserve">徐州市自然资源和规划局</w:t>
      </w:r>
      <w:r/>
    </w:p>
    <w:p>
      <w:pPr>
        <w:pStyle w:val="1093"/>
        <w:ind w:firstLine="562"/>
        <w:spacing w:line="360" w:lineRule="auto"/>
        <w:rPr>
          <w:rFonts w:ascii="宋体" w:hAnsi="宋体" w:cs="宋体"/>
          <w:b/>
          <w:color w:val="auto"/>
          <w:sz w:val="28"/>
          <w:szCs w:val="28"/>
          <w:highlight w:val="none"/>
        </w:rPr>
      </w:pPr>
      <w:r>
        <w:rPr>
          <w:rFonts w:hint="eastAsia" w:ascii="宋体" w:hAnsi="宋体" w:cs="宋体"/>
          <w:b/>
          <w:color w:val="auto"/>
          <w:sz w:val="28"/>
          <w:szCs w:val="28"/>
          <w:highlight w:val="none"/>
        </w:rPr>
        <w:t xml:space="preserve">乙   方：</w:t>
      </w:r>
      <w:r>
        <w:rPr>
          <w:rFonts w:hint="eastAsia" w:ascii="宋体" w:hAnsi="宋体" w:cs="宋体"/>
          <w:b/>
          <w:color w:val="auto"/>
          <w:sz w:val="28"/>
          <w:szCs w:val="28"/>
          <w:highlight w:val="none"/>
          <w:u w:val="single"/>
        </w:rPr>
        <w:t xml:space="preserve">                                  </w:t>
      </w:r>
      <w:r/>
    </w:p>
    <w:p>
      <w:pPr>
        <w:pStyle w:val="1093"/>
        <w:ind w:firstLine="562"/>
        <w:spacing w:line="360" w:lineRule="auto"/>
        <w:rPr>
          <w:rFonts w:ascii="宋体" w:hAnsi="宋体" w:cs="宋体"/>
          <w:b/>
          <w:color w:val="auto"/>
          <w:sz w:val="24"/>
          <w:szCs w:val="24"/>
          <w:highlight w:val="none"/>
        </w:rPr>
      </w:pPr>
      <w:r>
        <w:rPr>
          <w:rFonts w:hint="eastAsia" w:ascii="宋体" w:hAnsi="宋体" w:cs="宋体"/>
          <w:b/>
          <w:color w:val="auto"/>
          <w:sz w:val="28"/>
          <w:szCs w:val="28"/>
          <w:highlight w:val="none"/>
        </w:rPr>
        <w:t xml:space="preserve">签订时间：  年  月  日</w:t>
      </w:r>
      <w:r/>
    </w:p>
    <w:p>
      <w:pPr>
        <w:ind w:firstLine="482"/>
        <w:spacing w:line="360" w:lineRule="auto"/>
        <w:rPr>
          <w:rFonts w:ascii="宋体" w:hAnsi="宋体" w:cs="宋体"/>
          <w:b/>
          <w:bCs/>
          <w:color w:val="auto"/>
          <w:sz w:val="24"/>
          <w:highlight w:val="none"/>
        </w:rPr>
      </w:pPr>
      <w:r>
        <w:rPr>
          <w:rFonts w:ascii="宋体" w:hAnsi="宋体" w:cs="宋体"/>
          <w:b/>
          <w:bCs/>
          <w:color w:val="auto"/>
          <w:sz w:val="24"/>
          <w:highlight w:val="none"/>
        </w:rPr>
      </w:r>
      <w:r/>
    </w:p>
    <w:p>
      <w:pPr>
        <w:ind w:firstLine="562"/>
        <w:spacing w:line="360" w:lineRule="auto"/>
        <w:rPr>
          <w:rFonts w:ascii="宋体" w:hAnsi="宋体" w:cs="宋体"/>
          <w:b/>
          <w:bCs/>
          <w:color w:val="auto"/>
          <w:sz w:val="28"/>
          <w:szCs w:val="28"/>
          <w:highlight w:val="none"/>
        </w:rPr>
      </w:pPr>
      <w:r>
        <w:rPr>
          <w:rFonts w:hint="eastAsia" w:ascii="宋体" w:hAnsi="宋体" w:cs="宋体"/>
          <w:b/>
          <w:bCs/>
          <w:color w:val="auto"/>
          <w:sz w:val="28"/>
          <w:szCs w:val="28"/>
          <w:highlight w:val="none"/>
        </w:rPr>
        <w:t xml:space="preserve">友情提醒：采购人与成交供应商应当在成交通知书发出之日起三十日内，按照采购文件确定的事项签订政府采购合同。</w:t>
      </w:r>
      <w:r/>
    </w:p>
    <w:p>
      <w:pPr>
        <w:ind w:firstLine="562"/>
        <w:spacing w:line="360" w:lineRule="auto"/>
        <w:rPr>
          <w:rFonts w:ascii="宋体" w:hAnsi="宋体" w:cs="宋体"/>
          <w:b/>
          <w:bCs/>
          <w:color w:val="auto"/>
          <w:sz w:val="28"/>
          <w:szCs w:val="28"/>
          <w:highlight w:val="none"/>
        </w:rPr>
        <w:sectPr>
          <w:headerReference w:type="default" r:id="rId11"/>
          <w:footerReference w:type="default" r:id="rId16"/>
          <w:footerReference w:type="first" r:id="rId17"/>
          <w:footnotePr/>
          <w:endnotePr/>
          <w:type w:val="nextPage"/>
          <w:pgSz w:w="11906" w:h="16838" w:orient="portrait"/>
          <w:pgMar w:top="1418" w:right="1274" w:bottom="1418" w:left="1276" w:header="851" w:footer="992" w:gutter="0"/>
          <w:cols w:num="1" w:sep="0" w:space="1701" w:equalWidth="1"/>
          <w:docGrid w:linePitch="360"/>
        </w:sectPr>
      </w:pPr>
      <w:r>
        <w:rPr>
          <w:rFonts w:hint="eastAsia" w:ascii="宋体" w:hAnsi="宋体" w:cs="宋体"/>
          <w:b/>
          <w:bCs/>
          <w:color w:val="auto"/>
          <w:sz w:val="28"/>
          <w:szCs w:val="28"/>
          <w:highlight w:val="none"/>
        </w:rPr>
        <w:t xml:space="preserve">采购人应当自政府采购合同签订之日起2个工作日内，将政府采购合同在省级以上人民政府财政部门指定的媒体上公告，但政府采购合同中涉及国家秘密、商业秘密的内容除外。</w:t>
      </w:r>
      <w:r/>
    </w:p>
    <w:p>
      <w:pPr>
        <w:ind w:firstLine="480"/>
        <w:jc w:val="left"/>
        <w:spacing w:line="560" w:lineRule="exact"/>
        <w:rPr>
          <w:rFonts w:ascii="宋体" w:hAnsi="宋体" w:cs="宋体"/>
          <w:bCs/>
          <w:color w:val="auto"/>
          <w:sz w:val="24"/>
          <w:highlight w:val="none"/>
        </w:rPr>
      </w:pPr>
      <w:r>
        <w:rPr>
          <w:rFonts w:hint="eastAsia" w:ascii="宋体" w:hAnsi="宋体" w:cs="宋体"/>
          <w:bCs/>
          <w:color w:val="auto"/>
          <w:sz w:val="24"/>
          <w:highlight w:val="none"/>
        </w:rPr>
        <w:t xml:space="preserve">以下为成交后签订本项目合同的通用条款，成交供应商不得提出实质性的修改，关于专用条款将由采购人与成交供应商结合本项目具体情况协商后签订。</w:t>
      </w:r>
      <w:bookmarkStart w:id="16" w:name="_Hlt16619369"/>
      <w:r/>
      <w:bookmarkEnd w:id="16"/>
      <w:r/>
      <w:r/>
    </w:p>
    <w:p>
      <w:pPr>
        <w:pStyle w:val="915"/>
        <w:ind w:firstLine="480"/>
        <w:jc w:val="left"/>
        <w:spacing w:line="360" w:lineRule="auto"/>
        <w:rPr>
          <w:rFonts w:hAnsi="宋体" w:cs="宋体"/>
          <w:color w:val="auto"/>
          <w:sz w:val="24"/>
          <w:szCs w:val="24"/>
          <w:highlight w:val="none"/>
        </w:rPr>
      </w:pPr>
      <w:r>
        <w:rPr>
          <w:rFonts w:hAnsi="宋体" w:cs="宋体"/>
          <w:color w:val="auto"/>
          <w:sz w:val="24"/>
          <w:szCs w:val="24"/>
          <w:highlight w:val="none"/>
        </w:rPr>
      </w:r>
      <w:r/>
    </w:p>
    <w:p>
      <w:pPr>
        <w:pStyle w:val="915"/>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甲方：</w:t>
      </w:r>
      <w:r>
        <w:rPr>
          <w:rFonts w:hint="eastAsia" w:hAnsi="宋体" w:cs="宋体"/>
          <w:color w:val="auto"/>
          <w:sz w:val="24"/>
          <w:szCs w:val="24"/>
          <w:highlight w:val="none"/>
          <w:u w:val="single"/>
        </w:rPr>
        <w:t xml:space="preserve">徐州市自然资源和规划局</w:t>
      </w:r>
      <w:r/>
    </w:p>
    <w:p>
      <w:pPr>
        <w:pStyle w:val="915"/>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乙方：</w:t>
      </w:r>
      <w:r>
        <w:rPr>
          <w:rFonts w:hint="eastAsia" w:hAnsi="宋体" w:cs="宋体"/>
          <w:color w:val="auto"/>
          <w:sz w:val="24"/>
          <w:szCs w:val="24"/>
          <w:highlight w:val="none"/>
          <w:u w:val="single"/>
        </w:rPr>
        <w:t xml:space="preserve">                        </w:t>
      </w:r>
      <w:r/>
    </w:p>
    <w:p>
      <w:pPr>
        <w:pStyle w:val="915"/>
        <w:ind w:firstLine="480"/>
        <w:jc w:val="left"/>
        <w:spacing w:line="360" w:lineRule="auto"/>
        <w:rPr>
          <w:rFonts w:hAnsi="宋体" w:cs="宋体"/>
          <w:b/>
          <w:color w:val="auto"/>
          <w:sz w:val="24"/>
          <w:szCs w:val="24"/>
          <w:highlight w:val="none"/>
        </w:rPr>
      </w:pPr>
      <w:r>
        <w:rPr>
          <w:rFonts w:hint="eastAsia" w:hAnsi="宋体" w:cs="宋体"/>
          <w:color w:val="auto"/>
          <w:sz w:val="24"/>
          <w:szCs w:val="24"/>
          <w:highlight w:val="none"/>
        </w:rPr>
        <w:t xml:space="preserve">甲、乙双方根据</w:t>
      </w:r>
      <w:r>
        <w:rPr>
          <w:rFonts w:hint="eastAsia" w:hAnsi="宋体" w:cs="宋体"/>
          <w:b/>
          <w:color w:val="auto"/>
          <w:sz w:val="24"/>
          <w:szCs w:val="24"/>
          <w:highlight w:val="none"/>
        </w:rPr>
        <w:t xml:space="preserve">【徐州市自然资源和规划局徐州市综合交通体系规划（2025-2035年）】</w:t>
      </w:r>
      <w:r>
        <w:rPr>
          <w:rFonts w:hint="eastAsia" w:hAnsi="宋体" w:cs="宋体"/>
          <w:color w:val="auto"/>
          <w:sz w:val="24"/>
          <w:szCs w:val="24"/>
          <w:highlight w:val="none"/>
        </w:rPr>
        <w:t xml:space="preserve">项目（</w:t>
      </w:r>
      <w:r>
        <w:rPr>
          <w:rFonts w:hint="eastAsia" w:hAnsi="宋体" w:cs="宋体"/>
          <w:bCs/>
          <w:color w:val="auto"/>
          <w:sz w:val="24"/>
          <w:highlight w:val="none"/>
        </w:rPr>
        <w:t xml:space="preserve">项目</w:t>
      </w:r>
      <w:r>
        <w:rPr>
          <w:rFonts w:hint="eastAsia" w:hAnsi="宋体" w:cs="宋体"/>
          <w:color w:val="auto"/>
          <w:sz w:val="24"/>
          <w:szCs w:val="24"/>
          <w:highlight w:val="none"/>
        </w:rPr>
        <w:t xml:space="preserve">编号：   ）竞争性磋商的结果，签订本合同。</w:t>
      </w:r>
      <w:r/>
    </w:p>
    <w:p>
      <w:pPr>
        <w:pStyle w:val="915"/>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一、本合同签订依据</w:t>
      </w:r>
      <w:r/>
    </w:p>
    <w:p>
      <w:pPr>
        <w:pStyle w:val="915"/>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1、《中华人民共和国民法典》、《中华人民共和国政府采购法》</w:t>
      </w:r>
      <w:r/>
    </w:p>
    <w:p>
      <w:pPr>
        <w:pStyle w:val="915"/>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3、国家及地方有关规划项目管理法规、规章</w:t>
      </w:r>
      <w:r/>
    </w:p>
    <w:p>
      <w:pPr>
        <w:pStyle w:val="915"/>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二、规划范围及要求</w:t>
      </w:r>
      <w:r/>
    </w:p>
    <w:p>
      <w:pPr>
        <w:pStyle w:val="915"/>
        <w:ind w:firstLine="482"/>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1、规划范围</w:t>
      </w:r>
      <w:r/>
    </w:p>
    <w:p>
      <w:pPr>
        <w:pStyle w:val="915"/>
        <w:ind w:firstLine="480"/>
        <w:jc w:val="left"/>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规划编制范围为徐州市中心城区范围，面积660.71平方公里。</w:t>
      </w:r>
      <w:r/>
    </w:p>
    <w:p>
      <w:pPr>
        <w:pStyle w:val="915"/>
        <w:ind w:firstLine="482"/>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2、规划年限</w:t>
      </w:r>
      <w:r/>
    </w:p>
    <w:p>
      <w:pPr>
        <w:pStyle w:val="915"/>
        <w:ind w:firstLine="480"/>
        <w:jc w:val="left"/>
        <w:spacing w:line="360" w:lineRule="auto"/>
        <w:rPr>
          <w:rFonts w:hAnsi="宋体" w:cs="宋体"/>
          <w:bCs/>
          <w:color w:val="auto"/>
          <w:sz w:val="24"/>
          <w:szCs w:val="24"/>
          <w:highlight w:val="none"/>
        </w:rPr>
      </w:pPr>
      <w:r>
        <w:rPr>
          <w:rFonts w:hint="eastAsia" w:hAnsi="宋体" w:cs="宋体"/>
          <w:bCs/>
          <w:color w:val="auto"/>
          <w:sz w:val="24"/>
          <w:szCs w:val="24"/>
          <w:highlight w:val="none"/>
        </w:rPr>
        <w:t xml:space="preserve">规划年限为2025—2035年。</w:t>
      </w:r>
      <w:r/>
    </w:p>
    <w:p>
      <w:pPr>
        <w:pStyle w:val="915"/>
        <w:ind w:firstLine="482"/>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3</w:t>
      </w:r>
      <w:bookmarkStart w:id="17" w:name="OLE_LINK35"/>
      <w:r/>
      <w:bookmarkStart w:id="18" w:name="OLE_LINK34"/>
      <w:r>
        <w:rPr>
          <w:rFonts w:hint="eastAsia" w:hAnsi="宋体" w:cs="宋体"/>
          <w:b/>
          <w:color w:val="auto"/>
          <w:sz w:val="24"/>
          <w:szCs w:val="24"/>
          <w:highlight w:val="none"/>
        </w:rPr>
        <w:t xml:space="preserve">、</w:t>
      </w:r>
      <w:bookmarkEnd w:id="17"/>
      <w:r/>
      <w:bookmarkEnd w:id="18"/>
      <w:r>
        <w:rPr>
          <w:rFonts w:hint="eastAsia" w:hAnsi="宋体" w:cs="宋体"/>
          <w:b/>
          <w:color w:val="auto"/>
          <w:sz w:val="24"/>
          <w:szCs w:val="24"/>
          <w:highlight w:val="none"/>
        </w:rPr>
        <w:t xml:space="preserve">工作内容</w:t>
      </w:r>
      <w:r/>
    </w:p>
    <w:p>
      <w:pPr>
        <w:pStyle w:val="915"/>
        <w:ind w:firstLine="480"/>
        <w:jc w:val="left"/>
        <w:spacing w:line="360" w:lineRule="auto"/>
        <w:rPr>
          <w:rFonts w:hAnsi="宋体" w:cs="宋体"/>
          <w:bCs/>
          <w:color w:val="auto"/>
          <w:sz w:val="24"/>
          <w:szCs w:val="24"/>
          <w:highlight w:val="none"/>
        </w:rPr>
      </w:pPr>
      <w:r/>
      <w:bookmarkStart w:id="19" w:name="OLE_LINK9"/>
      <w:r/>
      <w:bookmarkStart w:id="20" w:name="OLE_LINK8"/>
      <w:r>
        <w:rPr>
          <w:rFonts w:hint="eastAsia" w:hAnsi="宋体" w:cs="宋体"/>
          <w:bCs/>
          <w:color w:val="auto"/>
          <w:sz w:val="24"/>
          <w:szCs w:val="24"/>
          <w:highlight w:val="none"/>
        </w:rPr>
        <w:t xml:space="preserve">本次规划以《城市综合交通体系规划标准（GB/T51328-2018）》等为依据，衔接十五五相关规划，结合国土空间规划的相关要求，在综合交通调查、调研的基础上，形成规划有关成果。包括但不限于：</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1.落实徐州市国土空间总体规划综合交通目标，传导重大交通设施功能定位、空间布局和控制要求，优化城市内部干线路网布局，预控跨铁路、跨河道等重要交通廊道；</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2.与城市空间形态和用地布局相协调，落实“窄马路、密路网”的规划理念，梳理断头路，打通微循环，指导详规层面的交通管控需求；</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3.深化分析中心城区综合交通发展的现状特征及问题、发展趋势及客货运输需求，提出中心城区综合交通发展目标与规划指标；结合中心城区功能布局制定差异化交通发展策略;提出中心城区道路、公交、步行和非机动车、停车智慧交通、低空交通等设施系统布局要求。评估综合交通系统布局对中心城区空间布局的支撑关系以及综合交通各组成部分的协调关系,提出优化应对措施。明确中心城区交通重点项目清单和近期建设要求，提出节约集约用地要求和空间管控引导措施。细化对特定功能地区的交通发展指引和规划要求。</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4.衔接轨道交通线网及公交地铁接驳研究成果，针对通学、通勤和邻里公共服务等需求，联系各组团版块，增设微循环接驳线路，加强轨道、公共交通、步行和自行车的三网融合，促进轨道公交一体化发展；</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5.丰富慢行交通系统，引导居民采用“步行+公交”“自行车+公交”的出行方式，有效解决快慢交通冲突、慢行主体行路难等问题，打造安全、通畅、舒适、宜人的出行系统，形成快慢相宜的宜居城市交通体系；</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6.加强城市停车设施与用地功能、布局相适应，与道路等级及疏解能力相匹配；</w:t>
      </w:r>
      <w:r/>
    </w:p>
    <w:p>
      <w:pPr>
        <w:pStyle w:val="929"/>
        <w:ind w:firstLine="573"/>
        <w:spacing w:before="0" w:beforeAutospacing="0" w:after="0" w:afterAutospacing="0" w:line="360" w:lineRule="auto"/>
        <w:rPr>
          <w:rFonts w:hint="eastAsia"/>
          <w:color w:val="auto"/>
          <w:highlight w:val="none"/>
        </w:rPr>
      </w:pPr>
      <w:r>
        <w:rPr>
          <w:rFonts w:hint="eastAsia"/>
          <w:color w:val="auto"/>
          <w:highlight w:val="none"/>
        </w:rPr>
        <w:t xml:space="preserve">7.根据中心城区空间结构、用地布局及产业发展规划，适应产业转型升级带来的交通运输需求的变化，分析生产性物流、生活性物流、应急保障物流的发展态势，处理好与城市客运廊道关系，构建内外一体、快速通畅的城市货运通道体系。</w:t>
      </w:r>
      <w:bookmarkEnd w:id="19"/>
      <w:r/>
      <w:bookmarkEnd w:id="20"/>
      <w:r/>
      <w:r/>
    </w:p>
    <w:p>
      <w:pPr>
        <w:pStyle w:val="929"/>
        <w:ind w:firstLine="573"/>
        <w:spacing w:before="0" w:beforeAutospacing="0" w:after="0" w:afterAutospacing="0"/>
        <w:rPr>
          <w:color w:val="auto"/>
          <w:highlight w:val="none"/>
        </w:rPr>
      </w:pPr>
      <w:r/>
      <w:bookmarkStart w:id="21" w:name="OLE_LINK4"/>
      <w:r/>
      <w:bookmarkStart w:id="22" w:name="OLE_LINK7"/>
      <w:r>
        <w:rPr>
          <w:rFonts w:hint="eastAsia"/>
          <w:b/>
          <w:color w:val="auto"/>
          <w:highlight w:val="none"/>
        </w:rPr>
        <w:t xml:space="preserve">4</w:t>
      </w:r>
      <w:r>
        <w:rPr>
          <w:rFonts w:hint="eastAsia"/>
          <w:b/>
          <w:color w:val="auto"/>
          <w:highlight w:val="none"/>
        </w:rPr>
        <w:t xml:space="preserve">、</w:t>
      </w:r>
      <w:r>
        <w:rPr>
          <w:rFonts w:hint="eastAsia"/>
          <w:b/>
          <w:color w:val="auto"/>
          <w:highlight w:val="none"/>
        </w:rPr>
        <w:t xml:space="preserve">服务期限：</w:t>
      </w:r>
      <w:r>
        <w:rPr>
          <w:rFonts w:hint="eastAsia"/>
          <w:color w:val="auto"/>
          <w:highlight w:val="none"/>
        </w:rPr>
        <w:t xml:space="preserve">自</w:t>
      </w:r>
      <w:r>
        <w:rPr>
          <w:rFonts w:hint="eastAsia"/>
          <w:color w:val="auto"/>
          <w:highlight w:val="none"/>
          <w:u w:val="single"/>
        </w:rPr>
        <w:t xml:space="preserve"> 2025 </w:t>
      </w:r>
      <w:r>
        <w:rPr>
          <w:rFonts w:hint="eastAsia"/>
          <w:color w:val="auto"/>
          <w:highlight w:val="none"/>
        </w:rPr>
        <w:t xml:space="preserve">年</w:t>
      </w:r>
      <w:r>
        <w:rPr>
          <w:rFonts w:hint="eastAsia"/>
          <w:color w:val="auto"/>
          <w:highlight w:val="none"/>
          <w:u w:val="single"/>
          <w:lang w:val="en-US" w:eastAsia="zh-CN"/>
        </w:rPr>
        <w:t xml:space="preserve">     </w:t>
      </w:r>
      <w:r>
        <w:rPr>
          <w:rFonts w:hint="eastAsia"/>
          <w:color w:val="auto"/>
          <w:highlight w:val="none"/>
        </w:rPr>
        <w:t xml:space="preserve">月</w:t>
      </w:r>
      <w:r>
        <w:rPr>
          <w:rFonts w:hint="eastAsia"/>
          <w:color w:val="auto"/>
          <w:highlight w:val="none"/>
          <w:u w:val="single"/>
        </w:rPr>
        <w:t xml:space="preserve"> </w:t>
      </w:r>
      <w:r>
        <w:rPr>
          <w:rFonts w:hint="eastAsia"/>
          <w:color w:val="auto"/>
          <w:highlight w:val="none"/>
          <w:u w:val="single"/>
          <w:lang w:val="en-US" w:eastAsia="zh-CN"/>
        </w:rPr>
        <w:t xml:space="preserve">  </w:t>
      </w:r>
      <w:r>
        <w:rPr>
          <w:rFonts w:hint="eastAsia"/>
          <w:color w:val="auto"/>
          <w:highlight w:val="none"/>
          <w:u w:val="single"/>
        </w:rPr>
        <w:t xml:space="preserve"> </w:t>
      </w:r>
      <w:r>
        <w:rPr>
          <w:rFonts w:hint="eastAsia"/>
          <w:color w:val="auto"/>
          <w:highlight w:val="none"/>
        </w:rPr>
        <w:t xml:space="preserve">日至</w:t>
      </w:r>
      <w:r>
        <w:rPr>
          <w:rFonts w:hint="eastAsia"/>
          <w:color w:val="auto"/>
          <w:highlight w:val="none"/>
          <w:u w:val="single"/>
        </w:rPr>
        <w:t xml:space="preserve">2026</w:t>
      </w:r>
      <w:r>
        <w:rPr>
          <w:rFonts w:hint="eastAsia"/>
          <w:color w:val="auto"/>
          <w:highlight w:val="none"/>
        </w:rPr>
        <w:t xml:space="preserve">年</w:t>
      </w:r>
      <w:r>
        <w:rPr>
          <w:rFonts w:hint="eastAsia"/>
          <w:color w:val="auto"/>
          <w:highlight w:val="none"/>
          <w:u w:val="single"/>
        </w:rPr>
        <w:t xml:space="preserve">12</w:t>
      </w:r>
      <w:r>
        <w:rPr>
          <w:rFonts w:hint="eastAsia"/>
          <w:color w:val="auto"/>
          <w:highlight w:val="none"/>
        </w:rPr>
        <w:t xml:space="preserve">月</w:t>
      </w:r>
      <w:r>
        <w:rPr>
          <w:rFonts w:hint="eastAsia"/>
          <w:color w:val="auto"/>
          <w:highlight w:val="none"/>
          <w:u w:val="single"/>
        </w:rPr>
        <w:t xml:space="preserve"> 31 </w:t>
      </w:r>
      <w:r>
        <w:rPr>
          <w:rFonts w:hint="eastAsia"/>
          <w:color w:val="auto"/>
          <w:highlight w:val="none"/>
        </w:rPr>
        <w:t xml:space="preserve">日。</w:t>
      </w:r>
      <w:r/>
    </w:p>
    <w:p>
      <w:pPr>
        <w:pStyle w:val="929"/>
        <w:ind w:firstLine="570"/>
        <w:spacing w:before="0" w:beforeAutospacing="0" w:after="0" w:afterAutospacing="0" w:line="360" w:lineRule="auto"/>
        <w:rPr>
          <w:color w:val="auto"/>
          <w:highlight w:val="none"/>
          <w:u w:val="single"/>
        </w:rPr>
      </w:pPr>
      <w:r>
        <w:rPr>
          <w:rFonts w:hint="eastAsia"/>
          <w:b/>
          <w:color w:val="auto"/>
          <w:highlight w:val="none"/>
        </w:rPr>
        <w:t xml:space="preserve">5</w:t>
      </w:r>
      <w:r>
        <w:rPr>
          <w:rFonts w:hint="eastAsia"/>
          <w:b/>
          <w:color w:val="auto"/>
          <w:highlight w:val="none"/>
        </w:rPr>
        <w:t xml:space="preserve">、</w:t>
      </w:r>
      <w:r>
        <w:rPr>
          <w:rFonts w:hint="eastAsia"/>
          <w:b/>
          <w:color w:val="auto"/>
          <w:highlight w:val="none"/>
        </w:rPr>
        <w:t xml:space="preserve">服务地点</w:t>
      </w:r>
      <w:r>
        <w:rPr>
          <w:rFonts w:hint="eastAsia"/>
          <w:color w:val="auto"/>
          <w:highlight w:val="none"/>
        </w:rPr>
        <w:t xml:space="preserve">：</w:t>
      </w:r>
      <w:r>
        <w:rPr>
          <w:rFonts w:hint="eastAsia"/>
          <w:color w:val="auto"/>
          <w:highlight w:val="none"/>
          <w:u w:val="single"/>
        </w:rPr>
        <w:t xml:space="preserve">江苏省徐州市。 </w:t>
      </w:r>
      <w:r/>
    </w:p>
    <w:p>
      <w:pPr>
        <w:pStyle w:val="915"/>
        <w:ind w:firstLine="480"/>
        <w:jc w:val="left"/>
        <w:spacing w:line="560" w:lineRule="exact"/>
        <w:rPr>
          <w:rFonts w:hAnsi="宋体" w:cs="宋体"/>
          <w:bCs/>
          <w:color w:val="auto"/>
          <w:sz w:val="24"/>
          <w:highlight w:val="none"/>
        </w:rPr>
      </w:pPr>
      <w:r>
        <w:rPr>
          <w:rFonts w:hint="eastAsia" w:hAnsi="宋体" w:cs="宋体"/>
          <w:bCs/>
          <w:color w:val="auto"/>
          <w:sz w:val="24"/>
          <w:szCs w:val="24"/>
          <w:highlight w:val="none"/>
        </w:rPr>
        <w:t xml:space="preserve">合同签订后3个月内完成现状调查和规划初步成果；完成规划初步</w:t>
      </w:r>
      <w:r>
        <w:rPr>
          <w:rFonts w:hint="eastAsia" w:hAnsi="宋体" w:cs="宋体"/>
          <w:bCs/>
          <w:color w:val="auto"/>
          <w:sz w:val="24"/>
          <w:highlight w:val="none"/>
        </w:rPr>
        <w:t xml:space="preserve">成果</w:t>
      </w:r>
      <w:r>
        <w:rPr>
          <w:rFonts w:hint="eastAsia" w:hAnsi="宋体" w:cs="宋体"/>
          <w:bCs/>
          <w:color w:val="auto"/>
          <w:sz w:val="24"/>
          <w:szCs w:val="24"/>
          <w:highlight w:val="none"/>
        </w:rPr>
        <w:t xml:space="preserve">后3个月内完成初步成果</w:t>
      </w:r>
      <w:r>
        <w:rPr>
          <w:rFonts w:hint="eastAsia" w:hAnsi="宋体" w:cs="宋体"/>
          <w:bCs/>
          <w:color w:val="auto"/>
          <w:sz w:val="24"/>
          <w:highlight w:val="none"/>
        </w:rPr>
        <w:t xml:space="preserve">完整版本（包含文本说明和图件；经委托方认可后开展专家评审成果编制，3个月内形成评审成果，该时间节点为开展规划编制技术性工作的时间要求，审批机关论证、批复和因委托方原因造成的延误时间不含在内，成果完成时间可根据具体情况顺延。</w:t>
      </w:r>
      <w:bookmarkEnd w:id="21"/>
      <w:r/>
      <w:bookmarkEnd w:id="22"/>
      <w:r/>
      <w:r/>
    </w:p>
    <w:p>
      <w:pPr>
        <w:pStyle w:val="929"/>
        <w:ind w:firstLine="570"/>
        <w:spacing w:before="0" w:beforeAutospacing="0" w:after="0" w:afterAutospacing="0" w:line="360" w:lineRule="auto"/>
        <w:rPr>
          <w:color w:val="auto"/>
          <w:highlight w:val="none"/>
        </w:rPr>
      </w:pPr>
      <w:r>
        <w:rPr>
          <w:color w:val="auto"/>
          <w:highlight w:val="none"/>
        </w:rPr>
      </w:r>
      <w:r/>
    </w:p>
    <w:p>
      <w:pPr>
        <w:pStyle w:val="915"/>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三、甲方向乙方提供的资料</w:t>
      </w:r>
      <w:r/>
    </w:p>
    <w:p>
      <w:pPr>
        <w:pStyle w:val="915"/>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1、项目任务书</w:t>
      </w:r>
      <w:r/>
    </w:p>
    <w:p>
      <w:pPr>
        <w:pStyle w:val="915"/>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2、项目基础资料</w:t>
      </w:r>
      <w:r/>
    </w:p>
    <w:p>
      <w:pPr>
        <w:pStyle w:val="915"/>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注：未经过甲方书面同意，乙方不得将由甲方提供的有关合同或任何合同条文、计划、图纸、样品或资料提供给与履行本合同无关的任何其他人。即使向履行本合同有关的人员提供，也应注意保密并限于履行合同的必需范围。</w:t>
      </w:r>
      <w:r/>
    </w:p>
    <w:p>
      <w:pPr>
        <w:pStyle w:val="915"/>
        <w:jc w:val="left"/>
        <w:spacing w:line="360" w:lineRule="auto"/>
        <w:rPr>
          <w:rFonts w:hAnsi="宋体" w:cs="宋体"/>
          <w:b/>
          <w:color w:val="auto"/>
          <w:sz w:val="24"/>
          <w:szCs w:val="24"/>
          <w:highlight w:val="none"/>
        </w:rPr>
      </w:pPr>
      <w:r>
        <w:rPr>
          <w:rFonts w:hint="eastAsia" w:hAnsi="宋体" w:cs="宋体"/>
          <w:b/>
          <w:color w:val="auto"/>
          <w:sz w:val="24"/>
          <w:szCs w:val="24"/>
          <w:highlight w:val="none"/>
        </w:rPr>
        <w:t xml:space="preserve">四、乙方提交的成果</w:t>
      </w:r>
      <w:r/>
    </w:p>
    <w:p>
      <w:pPr>
        <w:ind w:firstLine="480"/>
        <w:spacing w:line="360" w:lineRule="auto"/>
        <w:rPr>
          <w:rFonts w:ascii="宋体" w:hAnsi="宋体" w:cs="宋体"/>
          <w:color w:val="auto"/>
          <w:sz w:val="24"/>
          <w:highlight w:val="none"/>
        </w:rPr>
      </w:pPr>
      <w:r>
        <w:rPr>
          <w:rFonts w:hint="eastAsia" w:ascii="宋体" w:hAnsi="宋体" w:cs="宋体"/>
          <w:color w:val="auto"/>
          <w:sz w:val="24"/>
          <w:highlight w:val="none"/>
        </w:rPr>
        <w:t xml:space="preserve">《徐州市综合交通体系规划（2025-2035年）》（含文本、说明书、图表、附图、数据库、国土空间规划交通“一张图”系统评估报告等）。相关阶段性汇报稿、图件、专栏和附件等其他基础资料。文件格式要求：纸质文件及电子文件（包括汇报PPT、有关的矢量数据等，其他格式需根据采购人要求制作）。</w:t>
      </w:r>
      <w:r/>
    </w:p>
    <w:p>
      <w:pPr>
        <w:pStyle w:val="915"/>
        <w:jc w:val="left"/>
        <w:spacing w:line="560" w:lineRule="exact"/>
        <w:rPr>
          <w:rFonts w:hAnsi="宋体" w:cs="宋体"/>
          <w:b/>
          <w:color w:val="auto"/>
          <w:sz w:val="24"/>
          <w:szCs w:val="24"/>
          <w:highlight w:val="none"/>
        </w:rPr>
      </w:pPr>
      <w:r>
        <w:rPr>
          <w:rFonts w:hint="eastAsia" w:hAnsi="宋体" w:cs="宋体"/>
          <w:b/>
          <w:color w:val="auto"/>
          <w:sz w:val="24"/>
          <w:szCs w:val="24"/>
          <w:highlight w:val="none"/>
        </w:rPr>
        <w:t xml:space="preserve">五、合同价款及付款方式</w:t>
      </w:r>
      <w:r/>
    </w:p>
    <w:p>
      <w:pPr>
        <w:pStyle w:val="915"/>
        <w:ind w:firstLine="480"/>
        <w:jc w:val="left"/>
        <w:spacing w:line="560" w:lineRule="exact"/>
        <w:rPr>
          <w:rFonts w:hAnsi="宋体" w:cs="宋体"/>
          <w:color w:val="auto"/>
          <w:sz w:val="24"/>
          <w:szCs w:val="24"/>
          <w:highlight w:val="none"/>
          <w:u w:val="single"/>
        </w:rPr>
      </w:pPr>
      <w:r>
        <w:rPr>
          <w:rFonts w:hint="eastAsia" w:hAnsi="宋体" w:cs="宋体"/>
          <w:color w:val="auto"/>
          <w:sz w:val="24"/>
          <w:szCs w:val="24"/>
          <w:highlight w:val="none"/>
        </w:rPr>
        <w:t xml:space="preserve">1、</w:t>
      </w:r>
      <w:r>
        <w:rPr>
          <w:rFonts w:hint="eastAsia" w:ascii="宋体" w:hAnsi="宋体" w:cs="仿宋"/>
          <w:sz w:val="24"/>
          <w:highlight w:val="none"/>
        </w:rPr>
        <w:t xml:space="preserve">合同总价为人民币大写</w:t>
      </w:r>
      <w:r>
        <w:rPr>
          <w:rFonts w:hint="eastAsia" w:ascii="宋体" w:hAnsi="宋体" w:cs="仿宋"/>
          <w:sz w:val="24"/>
          <w:highlight w:val="none"/>
          <w:u w:val="single"/>
        </w:rPr>
        <w:t xml:space="preserve">     </w:t>
      </w:r>
      <w:r>
        <w:rPr>
          <w:rFonts w:hint="eastAsia" w:ascii="宋体" w:hAnsi="宋体" w:cs="仿宋"/>
          <w:sz w:val="24"/>
          <w:highlight w:val="none"/>
        </w:rPr>
        <w:t xml:space="preserve">元（小写：</w:t>
      </w:r>
      <w:r>
        <w:rPr>
          <w:rFonts w:hint="eastAsia" w:ascii="宋体" w:hAnsi="宋体" w:cs="仿宋"/>
          <w:sz w:val="24"/>
          <w:highlight w:val="none"/>
          <w:u w:val="single"/>
        </w:rPr>
        <w:t xml:space="preserve">      </w:t>
      </w:r>
      <w:r>
        <w:rPr>
          <w:rFonts w:hint="eastAsia" w:ascii="宋体" w:hAnsi="宋体" w:cs="仿宋"/>
          <w:sz w:val="24"/>
          <w:highlight w:val="none"/>
        </w:rPr>
        <w:t xml:space="preserve">元）</w:t>
      </w:r>
      <w:r/>
    </w:p>
    <w:p>
      <w:pPr>
        <w:pStyle w:val="915"/>
        <w:ind w:firstLine="480"/>
        <w:jc w:val="left"/>
        <w:spacing w:line="360" w:lineRule="auto"/>
        <w:rPr>
          <w:rFonts w:hAnsi="宋体" w:cs="宋体"/>
          <w:color w:val="auto"/>
          <w:sz w:val="24"/>
          <w:szCs w:val="24"/>
          <w:highlight w:val="none"/>
        </w:rPr>
      </w:pPr>
      <w:r>
        <w:rPr>
          <w:rFonts w:hint="eastAsia" w:hAnsi="宋体" w:cs="宋体"/>
          <w:color w:val="auto"/>
          <w:sz w:val="24"/>
          <w:highlight w:val="none"/>
        </w:rPr>
        <w:t xml:space="preserve">注：本项目采用固定总价合同，合同价款包括但不限于完成该项目的成本、利润、税金、交通费、差旅费、文本打印费、资料增加成本费、项目调研考察费、规划论证会务费及专家评审费等直至提交最终成果过程中所涉及到的一切费用。</w:t>
      </w:r>
      <w:r/>
    </w:p>
    <w:p>
      <w:pPr>
        <w:pStyle w:val="915"/>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2、付款方式：</w:t>
      </w:r>
      <w:r/>
    </w:p>
    <w:p>
      <w:pPr>
        <w:pStyle w:val="915"/>
        <w:ind w:firstLine="480"/>
        <w:jc w:val="left"/>
        <w:spacing w:line="360" w:lineRule="auto"/>
        <w:rPr>
          <w:rFonts w:hAnsi="宋体" w:cs="宋体"/>
          <w:color w:val="auto"/>
          <w:sz w:val="24"/>
          <w:szCs w:val="24"/>
          <w:highlight w:val="none"/>
        </w:rPr>
      </w:pPr>
      <w:r>
        <w:rPr>
          <w:rFonts w:hint="eastAsia" w:hAnsi="宋体" w:cs="宋体"/>
          <w:color w:val="auto"/>
          <w:sz w:val="24"/>
          <w:szCs w:val="24"/>
          <w:highlight w:val="none"/>
        </w:rPr>
        <w:t xml:space="preserve">经双方协商一致，选择以下第</w:t>
      </w:r>
      <w:r>
        <w:rPr>
          <w:rFonts w:hint="eastAsia" w:hAnsi="宋体" w:cs="宋体"/>
          <w:color w:val="auto"/>
          <w:sz w:val="24"/>
          <w:szCs w:val="24"/>
          <w:highlight w:val="none"/>
          <w:u w:val="single"/>
        </w:rPr>
        <w:t xml:space="preserve">  </w:t>
      </w:r>
      <w:r>
        <w:rPr>
          <w:rFonts w:hint="eastAsia" w:hAnsi="宋体" w:cs="宋体"/>
          <w:color w:val="auto"/>
          <w:sz w:val="24"/>
          <w:szCs w:val="24"/>
          <w:highlight w:val="none"/>
        </w:rPr>
        <w:t xml:space="preserve"> 种付款方式：</w:t>
      </w:r>
      <w:r/>
    </w:p>
    <w:p>
      <w:pPr>
        <w:pStyle w:val="915"/>
        <w:ind w:firstLine="482"/>
        <w:jc w:val="left"/>
        <w:spacing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（一）付款方式（提交预付款保函的）</w:t>
      </w:r>
      <w:r/>
    </w:p>
    <w:p>
      <w:pPr>
        <w:ind w:firstLine="480"/>
        <w:spacing w:line="4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第一次支付合同价款的百分之三十(30%) 即</w:t>
      </w:r>
      <w:r>
        <w:rPr>
          <w:rFonts w:hint="eastAsia" w:asciiTheme="minorEastAsia" w:hAnsiTheme="minorEastAsia" w:eastAsiaTheme="minorEastAsia" w:cstheme="minorEastAsia"/>
          <w:color w:val="auto"/>
          <w:sz w:val="24"/>
          <w:highlight w:val="none"/>
          <w:lang w:val="en-US" w:eastAsia="zh-CN"/>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元整，在双方签订合同15个工作日内且乙方提供对应金额的增值税发票后，由甲方办理政府采购资金结算手续，经审核后支付给乙方。</w:t>
      </w:r>
      <w:r/>
    </w:p>
    <w:p>
      <w:pPr>
        <w:pStyle w:val="1250"/>
        <w:ind w:firstLine="480"/>
        <w:spacing w:line="460" w:lineRule="exact"/>
        <w:rPr>
          <w:rFonts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 xml:space="preserve">第二次支付</w:t>
      </w:r>
      <w:r>
        <w:rPr>
          <w:rFonts w:hint="eastAsia" w:asciiTheme="minorEastAsia" w:hAnsiTheme="minorEastAsia" w:eastAsiaTheme="minorEastAsia" w:cstheme="minorEastAsia"/>
          <w:color w:val="auto"/>
          <w:sz w:val="24"/>
          <w:szCs w:val="24"/>
          <w:highlight w:val="none"/>
        </w:rPr>
        <w:t xml:space="preserve">合同价款的百分之</w:t>
      </w:r>
      <w:r>
        <w:rPr>
          <w:rFonts w:hint="eastAsia" w:asciiTheme="minorEastAsia" w:hAnsiTheme="minorEastAsia" w:eastAsiaTheme="minorEastAsia" w:cstheme="minorEastAsia"/>
          <w:color w:val="auto"/>
          <w:sz w:val="24"/>
          <w:szCs w:val="24"/>
          <w:highlight w:val="none"/>
          <w:lang w:val="en-US"/>
        </w:rPr>
        <w:t xml:space="preserve">三十</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rPr>
        <w:t xml:space="preserve">3</w:t>
      </w:r>
      <w:r>
        <w:rPr>
          <w:rFonts w:hint="eastAsia" w:asciiTheme="minorEastAsia" w:hAnsiTheme="minorEastAsia" w:eastAsiaTheme="minorEastAsia" w:cstheme="minorEastAsia"/>
          <w:color w:val="auto"/>
          <w:sz w:val="24"/>
          <w:szCs w:val="24"/>
          <w:highlight w:val="none"/>
        </w:rPr>
        <w:t xml:space="preserve">0%)即</w:t>
      </w:r>
      <w:r>
        <w:rPr>
          <w:rFonts w:hint="eastAsia" w:asciiTheme="minorEastAsia" w:hAnsiTheme="minorEastAsia" w:eastAsiaTheme="minorEastAsia" w:cstheme="minorEastAsia"/>
          <w:color w:val="auto"/>
          <w:sz w:val="24"/>
          <w:highlight w:val="none"/>
          <w:lang w:val="en-US" w:eastAsia="zh-CN"/>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元整</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rPr>
        <w:t xml:space="preserve">在</w:t>
      </w:r>
      <w:r>
        <w:rPr>
          <w:rFonts w:hint="eastAsia" w:asciiTheme="minorEastAsia" w:hAnsiTheme="minorEastAsia" w:eastAsiaTheme="minorEastAsia" w:cstheme="minorEastAsia"/>
          <w:color w:val="auto"/>
          <w:sz w:val="24"/>
          <w:szCs w:val="24"/>
          <w:highlight w:val="none"/>
        </w:rPr>
        <w:t xml:space="preserve">完成徐州市综合交通体系规划成果并</w:t>
      </w:r>
      <w:r>
        <w:rPr>
          <w:rFonts w:hint="eastAsia" w:asciiTheme="minorEastAsia" w:hAnsiTheme="minorEastAsia" w:eastAsiaTheme="minorEastAsia" w:cstheme="minorEastAsia"/>
          <w:color w:val="auto"/>
          <w:sz w:val="24"/>
          <w:szCs w:val="24"/>
          <w:highlight w:val="none"/>
          <w:lang w:val="en-US"/>
        </w:rPr>
        <w:t xml:space="preserve">经市局组织初步研究后</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highlight w:val="none"/>
        </w:rPr>
        <w:t xml:space="preserve">乙方提供对应金额的增值税发票后</w:t>
      </w:r>
      <w:r>
        <w:rPr>
          <w:rFonts w:hint="eastAsia" w:asciiTheme="minorEastAsia" w:hAnsiTheme="minorEastAsia" w:eastAsiaTheme="minorEastAsia" w:cstheme="minorEastAsia"/>
          <w:color w:val="auto"/>
          <w:sz w:val="24"/>
          <w:szCs w:val="24"/>
          <w:highlight w:val="none"/>
          <w:lang w:val="en-US"/>
        </w:rPr>
        <w:t xml:space="preserve">。</w:t>
      </w:r>
      <w:r/>
    </w:p>
    <w:p>
      <w:pPr>
        <w:ind w:firstLine="480"/>
        <w:spacing w:line="460" w:lineRule="exac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第三次支付合同价款的百分之三十(30%)即</w:t>
      </w:r>
      <w:r>
        <w:rPr>
          <w:rFonts w:hint="eastAsia" w:asciiTheme="minorEastAsia" w:hAnsiTheme="minorEastAsia" w:eastAsiaTheme="minorEastAsia" w:cstheme="minorEastAsia"/>
          <w:color w:val="auto"/>
          <w:sz w:val="24"/>
          <w:highlight w:val="none"/>
          <w:lang w:val="en-US" w:eastAsia="zh-CN"/>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元整，在徐州市综合交通体系规划成果经徐州市自然资源和规划局审查通过并经市政府批准，乙方提供对应金额的增值税发票后。</w:t>
      </w:r>
      <w:r/>
    </w:p>
    <w:p>
      <w:pPr>
        <w:ind w:firstLine="480"/>
        <w:spacing w:line="460" w:lineRule="exact"/>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第四次支付合同价款的百分之十(10%)即</w:t>
      </w:r>
      <w:r>
        <w:rPr>
          <w:rFonts w:hint="eastAsia" w:asciiTheme="minorEastAsia" w:hAnsiTheme="minorEastAsia" w:eastAsiaTheme="minorEastAsia" w:cstheme="minorEastAsia"/>
          <w:color w:val="auto"/>
          <w:sz w:val="24"/>
          <w:highlight w:val="none"/>
          <w:lang w:val="en-US" w:eastAsia="zh-CN"/>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，大写：元整，在完成数据库成果提交后，合同服务期满余款一次性付清。</w:t>
      </w:r>
      <w:r/>
    </w:p>
    <w:p>
      <w:pPr>
        <w:pStyle w:val="901"/>
      </w:pPr>
      <w:r/>
      <w:r/>
    </w:p>
    <w:p>
      <w:pPr>
        <w:pStyle w:val="915"/>
        <w:ind w:firstLine="482"/>
        <w:jc w:val="left"/>
        <w:spacing w:line="360" w:lineRule="auto"/>
        <w:rPr>
          <w:rFonts w:hAnsi="宋体" w:cs="宋体"/>
          <w:b/>
          <w:bCs/>
          <w:color w:val="auto"/>
          <w:sz w:val="24"/>
          <w:szCs w:val="24"/>
          <w:highlight w:val="none"/>
        </w:rPr>
      </w:pPr>
      <w:r>
        <w:rPr>
          <w:rFonts w:hint="eastAsia" w:hAnsi="宋体" w:cs="宋体"/>
          <w:b/>
          <w:bCs/>
          <w:color w:val="auto"/>
          <w:sz w:val="24"/>
          <w:szCs w:val="24"/>
          <w:highlight w:val="none"/>
        </w:rPr>
        <w:t xml:space="preserve">（二）付款方式（不提交预付款保函的）</w:t>
      </w:r>
      <w:r/>
    </w:p>
    <w:p>
      <w:pPr>
        <w:ind w:firstLine="480"/>
        <w:spacing w:line="460" w:lineRule="exact"/>
        <w:rPr>
          <w:rFonts w:asciiTheme="minorEastAsia" w:hAnsiTheme="minorEastAsia" w:eastAsiaTheme="minorEastAsia" w:cstheme="minorEastAsia"/>
          <w:color w:val="auto"/>
          <w:sz w:val="24"/>
          <w:highlight w:val="none"/>
        </w:rPr>
      </w:pPr>
      <w:r/>
      <w:bookmarkStart w:id="23" w:name="OLE_LINK6"/>
      <w:r/>
      <w:bookmarkStart w:id="24" w:name="OLE_LINK5"/>
      <w:r/>
      <w:bookmarkStart w:id="25" w:name="OLE_LINK10"/>
      <w:r>
        <w:rPr>
          <w:rFonts w:hint="eastAsia" w:asciiTheme="minorEastAsia" w:hAnsiTheme="minorEastAsia" w:eastAsiaTheme="minorEastAsia" w:cstheme="minorEastAsia"/>
          <w:color w:val="auto"/>
          <w:sz w:val="24"/>
          <w:highlight w:val="none"/>
        </w:rPr>
        <w:t xml:space="preserve">第一次支付合同价款的百分之三十(30%) 即</w:t>
      </w:r>
      <w:r>
        <w:rPr>
          <w:rFonts w:hint="eastAsia" w:asciiTheme="minorEastAsia" w:hAnsiTheme="minorEastAsia" w:eastAsiaTheme="minorEastAsia" w:cstheme="minorEastAsia"/>
          <w:color w:val="auto"/>
          <w:sz w:val="24"/>
          <w:highlight w:val="none"/>
          <w:lang w:val="en-US" w:eastAsia="zh-CN"/>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元整，在双方签订合同15个工作日内且</w:t>
      </w:r>
      <w:bookmarkStart w:id="26" w:name="OLE_LINK25"/>
      <w:r/>
      <w:bookmarkStart w:id="27" w:name="OLE_LINK24"/>
      <w:r>
        <w:rPr>
          <w:rFonts w:hint="eastAsia" w:asciiTheme="minorEastAsia" w:hAnsiTheme="minorEastAsia" w:eastAsiaTheme="minorEastAsia" w:cstheme="minorEastAsia"/>
          <w:color w:val="auto"/>
          <w:sz w:val="24"/>
          <w:highlight w:val="none"/>
        </w:rPr>
        <w:t xml:space="preserve">乙方提供对应金额的增值税发票后</w:t>
      </w:r>
      <w:bookmarkEnd w:id="26"/>
      <w:r/>
      <w:bookmarkEnd w:id="27"/>
      <w:r>
        <w:rPr>
          <w:rFonts w:hint="eastAsia" w:asciiTheme="minorEastAsia" w:hAnsiTheme="minorEastAsia" w:eastAsiaTheme="minorEastAsia" w:cstheme="minorEastAsia"/>
          <w:color w:val="auto"/>
          <w:sz w:val="24"/>
          <w:highlight w:val="none"/>
        </w:rPr>
        <w:t xml:space="preserve">，由甲方办理政府采购资金结算手续，经审核后支付给乙方。</w:t>
      </w:r>
      <w:r/>
    </w:p>
    <w:p>
      <w:pPr>
        <w:pStyle w:val="1250"/>
        <w:ind w:firstLine="480"/>
        <w:spacing w:line="460" w:lineRule="exact"/>
        <w:rPr>
          <w:rFonts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rPr>
        <w:t xml:space="preserve">第二次支付</w:t>
      </w:r>
      <w:r>
        <w:rPr>
          <w:rFonts w:hint="eastAsia" w:asciiTheme="minorEastAsia" w:hAnsiTheme="minorEastAsia" w:eastAsiaTheme="minorEastAsia" w:cstheme="minorEastAsia"/>
          <w:color w:val="auto"/>
          <w:sz w:val="24"/>
          <w:szCs w:val="24"/>
          <w:highlight w:val="none"/>
        </w:rPr>
        <w:t xml:space="preserve">合同价款的百分之</w:t>
      </w:r>
      <w:r>
        <w:rPr>
          <w:rFonts w:hint="eastAsia" w:asciiTheme="minorEastAsia" w:hAnsiTheme="minorEastAsia" w:eastAsiaTheme="minorEastAsia" w:cstheme="minorEastAsia"/>
          <w:color w:val="auto"/>
          <w:sz w:val="24"/>
          <w:szCs w:val="24"/>
          <w:highlight w:val="none"/>
          <w:lang w:val="en-US"/>
        </w:rPr>
        <w:t xml:space="preserve">三十</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rPr>
        <w:t xml:space="preserve">3</w:t>
      </w:r>
      <w:r>
        <w:rPr>
          <w:rFonts w:hint="eastAsia" w:asciiTheme="minorEastAsia" w:hAnsiTheme="minorEastAsia" w:eastAsiaTheme="minorEastAsia" w:cstheme="minorEastAsia"/>
          <w:color w:val="auto"/>
          <w:sz w:val="24"/>
          <w:szCs w:val="24"/>
          <w:highlight w:val="none"/>
        </w:rPr>
        <w:t xml:space="preserve">0%)即</w:t>
      </w:r>
      <w:r>
        <w:rPr>
          <w:rFonts w:hint="eastAsia" w:asciiTheme="minorEastAsia" w:hAnsiTheme="minorEastAsia" w:eastAsiaTheme="minorEastAsia" w:cstheme="minorEastAsia"/>
          <w:color w:val="auto"/>
          <w:sz w:val="24"/>
          <w:highlight w:val="none"/>
          <w:lang w:val="en-US" w:eastAsia="zh-CN"/>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元整</w:t>
      </w:r>
      <w:r>
        <w:rPr>
          <w:rFonts w:hint="eastAsia" w:asciiTheme="minorEastAsia" w:hAnsiTheme="minorEastAsia" w:eastAsiaTheme="minorEastAsia" w:cstheme="minorEastAsia"/>
          <w:color w:val="auto"/>
          <w:sz w:val="24"/>
          <w:szCs w:val="24"/>
          <w:highlight w:val="none"/>
        </w:rPr>
        <w:t xml:space="preserve">，</w:t>
      </w:r>
      <w:r>
        <w:rPr>
          <w:rFonts w:hint="eastAsia" w:asciiTheme="minorEastAsia" w:hAnsiTheme="minorEastAsia" w:eastAsiaTheme="minorEastAsia" w:cstheme="minorEastAsia"/>
          <w:color w:val="auto"/>
          <w:sz w:val="24"/>
          <w:szCs w:val="24"/>
          <w:highlight w:val="none"/>
          <w:lang w:val="en-US"/>
        </w:rPr>
        <w:t xml:space="preserve">在</w:t>
      </w:r>
      <w:r>
        <w:rPr>
          <w:rFonts w:hint="eastAsia" w:asciiTheme="minorEastAsia" w:hAnsiTheme="minorEastAsia" w:eastAsiaTheme="minorEastAsia" w:cstheme="minorEastAsia"/>
          <w:color w:val="auto"/>
          <w:sz w:val="24"/>
          <w:szCs w:val="24"/>
          <w:highlight w:val="none"/>
        </w:rPr>
        <w:t xml:space="preserve">完成</w:t>
      </w:r>
      <w:bookmarkStart w:id="28" w:name="OLE_LINK11"/>
      <w:r/>
      <w:bookmarkStart w:id="29" w:name="OLE_LINK12"/>
      <w:r/>
      <w:bookmarkStart w:id="30" w:name="OLE_LINK27"/>
      <w:r/>
      <w:bookmarkStart w:id="31" w:name="OLE_LINK26"/>
      <w:r>
        <w:rPr>
          <w:rFonts w:hint="eastAsia" w:asciiTheme="minorEastAsia" w:hAnsiTheme="minorEastAsia" w:eastAsiaTheme="minorEastAsia" w:cstheme="minorEastAsia"/>
          <w:color w:val="auto"/>
          <w:sz w:val="24"/>
          <w:szCs w:val="24"/>
          <w:highlight w:val="none"/>
        </w:rPr>
        <w:t xml:space="preserve">徐州市</w:t>
      </w:r>
      <w:bookmarkEnd w:id="28"/>
      <w:r/>
      <w:bookmarkEnd w:id="29"/>
      <w:r>
        <w:rPr>
          <w:rFonts w:hint="eastAsia" w:asciiTheme="minorEastAsia" w:hAnsiTheme="minorEastAsia" w:eastAsiaTheme="minorEastAsia" w:cstheme="minorEastAsia"/>
          <w:color w:val="auto"/>
          <w:sz w:val="24"/>
          <w:szCs w:val="24"/>
          <w:highlight w:val="none"/>
        </w:rPr>
        <w:t xml:space="preserve">综合交通体系规划成果</w:t>
      </w:r>
      <w:bookmarkEnd w:id="30"/>
      <w:r/>
      <w:bookmarkEnd w:id="31"/>
      <w:r>
        <w:rPr>
          <w:rFonts w:hint="eastAsia" w:asciiTheme="minorEastAsia" w:hAnsiTheme="minorEastAsia" w:eastAsiaTheme="minorEastAsia" w:cstheme="minorEastAsia"/>
          <w:color w:val="auto"/>
          <w:sz w:val="24"/>
          <w:szCs w:val="24"/>
          <w:highlight w:val="none"/>
        </w:rPr>
        <w:t xml:space="preserve">并</w:t>
      </w:r>
      <w:r>
        <w:rPr>
          <w:rFonts w:hint="eastAsia" w:asciiTheme="minorEastAsia" w:hAnsiTheme="minorEastAsia" w:eastAsiaTheme="minorEastAsia" w:cstheme="minorEastAsia"/>
          <w:color w:val="auto"/>
          <w:sz w:val="24"/>
          <w:szCs w:val="24"/>
          <w:highlight w:val="none"/>
          <w:lang w:val="en-US"/>
        </w:rPr>
        <w:t xml:space="preserve">经市局组织初步研究后</w:t>
      </w:r>
      <w:r>
        <w:rPr>
          <w:rFonts w:hint="eastAsia" w:asciiTheme="minorEastAsia" w:hAnsiTheme="minorEastAsia" w:eastAsiaTheme="minorEastAsia" w:cstheme="minorEastAsia"/>
          <w:color w:val="auto"/>
          <w:sz w:val="24"/>
          <w:szCs w:val="24"/>
          <w:highlight w:val="none"/>
        </w:rPr>
        <w:t xml:space="preserve">，</w:t>
      </w:r>
      <w:bookmarkStart w:id="32" w:name="OLE_LINK31"/>
      <w:r/>
      <w:bookmarkStart w:id="33" w:name="OLE_LINK30"/>
      <w:r>
        <w:rPr>
          <w:rFonts w:hint="eastAsia" w:asciiTheme="minorEastAsia" w:hAnsiTheme="minorEastAsia" w:eastAsiaTheme="minorEastAsia" w:cstheme="minorEastAsia"/>
          <w:color w:val="auto"/>
          <w:sz w:val="24"/>
          <w:highlight w:val="none"/>
        </w:rPr>
        <w:t xml:space="preserve">乙方提供对应金额的增值税发票后</w:t>
      </w:r>
      <w:bookmarkEnd w:id="32"/>
      <w:r/>
      <w:bookmarkEnd w:id="33"/>
      <w:r>
        <w:rPr>
          <w:rFonts w:hint="eastAsia" w:asciiTheme="minorEastAsia" w:hAnsiTheme="minorEastAsia" w:eastAsiaTheme="minorEastAsia" w:cstheme="minorEastAsia"/>
          <w:color w:val="auto"/>
          <w:sz w:val="24"/>
          <w:szCs w:val="24"/>
          <w:highlight w:val="none"/>
          <w:lang w:val="en-US"/>
        </w:rPr>
        <w:t xml:space="preserve">。</w:t>
      </w:r>
      <w:r/>
    </w:p>
    <w:p>
      <w:pPr>
        <w:ind w:firstLine="480"/>
        <w:spacing w:line="460" w:lineRule="exact"/>
        <w:rPr>
          <w:rFonts w:asciiTheme="minorEastAsia" w:hAnsiTheme="minorEastAsia" w:eastAsiaTheme="minorEastAsia" w:cstheme="minorEastAsia"/>
          <w:color w:val="auto"/>
          <w:sz w:val="24"/>
          <w:highlight w:val="none"/>
          <w:lang w:val="zh-CN"/>
        </w:rPr>
      </w:pPr>
      <w:r>
        <w:rPr>
          <w:rFonts w:hint="eastAsia" w:asciiTheme="minorEastAsia" w:hAnsiTheme="minorEastAsia" w:eastAsiaTheme="minorEastAsia" w:cstheme="minorEastAsia"/>
          <w:color w:val="auto"/>
          <w:sz w:val="24"/>
          <w:highlight w:val="none"/>
        </w:rPr>
        <w:t xml:space="preserve">第三次支付合同价款的百分之三十(30%)即</w:t>
      </w:r>
      <w:r>
        <w:rPr>
          <w:rFonts w:hint="eastAsia" w:asciiTheme="minorEastAsia" w:hAnsiTheme="minorEastAsia" w:eastAsiaTheme="minorEastAsia" w:cstheme="minorEastAsia"/>
          <w:color w:val="auto"/>
          <w:sz w:val="24"/>
          <w:highlight w:val="none"/>
          <w:lang w:val="en-US" w:eastAsia="zh-CN"/>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lang w:val="en-US" w:eastAsia="zh-CN"/>
        </w:rPr>
        <w:t xml:space="preserve"> </w:t>
      </w:r>
      <w:r>
        <w:rPr>
          <w:rFonts w:hint="eastAsia" w:asciiTheme="minorEastAsia" w:hAnsiTheme="minorEastAsia" w:eastAsiaTheme="minorEastAsia" w:cstheme="minorEastAsia"/>
          <w:color w:val="auto"/>
          <w:sz w:val="24"/>
          <w:highlight w:val="none"/>
        </w:rPr>
        <w:t xml:space="preserve">元整，在徐州市综合交通体系规划成果经徐州市自然资源和规划局审查通过并经市政府批准，乙方提供对应金额的增值税发票后。</w:t>
      </w:r>
      <w:r/>
    </w:p>
    <w:p>
      <w:pPr>
        <w:ind w:firstLine="480"/>
        <w:spacing w:line="460" w:lineRule="exact"/>
        <w:rPr>
          <w:rFonts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 xml:space="preserve">第四次支付合同价款的百分之十(10%)即</w:t>
      </w:r>
      <w:r>
        <w:rPr>
          <w:rFonts w:hint="eastAsia" w:asciiTheme="minorEastAsia" w:hAnsiTheme="minorEastAsia" w:eastAsiaTheme="minorEastAsia" w:cstheme="minorEastAsia"/>
          <w:color w:val="auto"/>
          <w:sz w:val="24"/>
          <w:highlight w:val="none"/>
          <w:lang w:val="en-US" w:eastAsia="zh-CN"/>
        </w:rPr>
        <w:t xml:space="preserve">¥</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，大写：</w:t>
      </w:r>
      <w:r>
        <w:rPr>
          <w:rFonts w:hint="eastAsia" w:asciiTheme="minorEastAsia" w:hAnsiTheme="minorEastAsia" w:eastAsiaTheme="minorEastAsia" w:cstheme="minorEastAsia"/>
          <w:color w:val="auto"/>
          <w:sz w:val="24"/>
          <w:highlight w:val="none"/>
          <w:u w:val="single"/>
          <w:lang w:val="en-US" w:eastAsia="zh-CN"/>
        </w:rPr>
        <w:t xml:space="preserve">    </w:t>
      </w:r>
      <w:r>
        <w:rPr>
          <w:rFonts w:hint="eastAsia" w:asciiTheme="minorEastAsia" w:hAnsiTheme="minorEastAsia" w:eastAsiaTheme="minorEastAsia" w:cstheme="minorEastAsia"/>
          <w:color w:val="auto"/>
          <w:sz w:val="24"/>
          <w:highlight w:val="none"/>
        </w:rPr>
        <w:t xml:space="preserve">元整，在完成数据库成果提交后，合同服务期满余款一次性付清。</w:t>
      </w:r>
      <w:bookmarkEnd w:id="23"/>
      <w:r/>
      <w:bookmarkEnd w:id="24"/>
      <w:r/>
      <w:bookmarkEnd w:id="25"/>
      <w:r/>
      <w:r/>
    </w:p>
    <w:p>
      <w:pPr>
        <w:pStyle w:val="929"/>
        <w:spacing w:before="0" w:beforeAutospacing="0" w:after="0" w:afterAutospacing="0" w:line="360" w:lineRule="auto"/>
        <w:rPr>
          <w:color w:val="auto"/>
          <w:highlight w:val="none"/>
        </w:rPr>
      </w:pPr>
      <w:r>
        <w:rPr>
          <w:rFonts w:hint="eastAsia"/>
          <w:b/>
          <w:bCs/>
          <w:color w:val="auto"/>
          <w:highlight w:val="none"/>
        </w:rPr>
        <w:t xml:space="preserve">六、甲方权利和义务</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1、甲方项目负责人（联系人）：</w:t>
      </w:r>
      <w:r>
        <w:rPr>
          <w:rFonts w:hint="eastAsia"/>
          <w:color w:val="auto"/>
          <w:highlight w:val="none"/>
          <w:u w:val="single"/>
        </w:rPr>
        <w:t xml:space="preserve">         </w:t>
      </w: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rPr>
        <w:t xml:space="preserve">。</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2、甲方有权对乙方的服务过程进行监督，提出改进意见，对不符合甲方要求的服务人员及设备提出调整，乙方需进行配合。</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3、甲方有权对乙方的服务成果进行考核，对考核不合格部分有权拒绝支付支付费用，并要求乙方进行整改，直至满足甲方考核要求后，方可支付费用。</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4、甲方应为乙方提供必要的技术资料，甲方应保证所提供相关资料真实、有效。</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5、甲方应为乙方提供的场地及条件。</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6、甲方应协助乙方协调相关方的关系，协助解决相关方产生的矛盾，避免影响工作的顺利进行；</w:t>
      </w:r>
      <w:r/>
    </w:p>
    <w:p>
      <w:pPr>
        <w:pStyle w:val="929"/>
        <w:spacing w:before="0" w:beforeAutospacing="0" w:after="0" w:afterAutospacing="0" w:line="360" w:lineRule="auto"/>
        <w:rPr>
          <w:color w:val="auto"/>
          <w:highlight w:val="none"/>
        </w:rPr>
      </w:pPr>
      <w:r>
        <w:rPr>
          <w:rFonts w:hint="eastAsia"/>
          <w:b/>
          <w:bCs/>
          <w:color w:val="auto"/>
          <w:highlight w:val="none"/>
        </w:rPr>
        <w:t xml:space="preserve">七、乙方权利和义务</w:t>
      </w:r>
      <w:r/>
    </w:p>
    <w:p>
      <w:pPr>
        <w:ind w:firstLine="480"/>
        <w:spacing w:line="360" w:lineRule="auto"/>
        <w:rPr>
          <w:rFonts w:ascii="宋体" w:hAnsi="宋体" w:cs="宋体"/>
          <w:color w:val="auto"/>
          <w:sz w:val="24"/>
          <w:szCs w:val="22"/>
          <w:highlight w:val="none"/>
        </w:rPr>
      </w:pPr>
      <w:r>
        <w:rPr>
          <w:rFonts w:hint="eastAsia" w:ascii="宋体" w:hAnsi="宋体" w:cs="宋体"/>
          <w:color w:val="auto"/>
          <w:sz w:val="24"/>
          <w:szCs w:val="22"/>
          <w:highlight w:val="none"/>
        </w:rPr>
        <w:t xml:space="preserve">2、乙方责任</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1、乙方项目负责人（联系人）：</w:t>
      </w:r>
      <w:r>
        <w:rPr>
          <w:rFonts w:hint="eastAsia"/>
          <w:color w:val="auto"/>
          <w:highlight w:val="none"/>
          <w:u w:val="single"/>
        </w:rPr>
        <w:t xml:space="preserve">           </w:t>
      </w:r>
      <w:r>
        <w:rPr>
          <w:rFonts w:hint="eastAsia"/>
          <w:color w:val="auto"/>
          <w:highlight w:val="none"/>
        </w:rPr>
        <w:t xml:space="preserve">联系电话:</w:t>
      </w:r>
      <w:r>
        <w:rPr>
          <w:rFonts w:hint="eastAsia"/>
          <w:color w:val="auto"/>
          <w:highlight w:val="none"/>
          <w:u w:val="single"/>
        </w:rPr>
        <w:t xml:space="preserve">           </w:t>
      </w:r>
      <w:r>
        <w:rPr>
          <w:rFonts w:hint="eastAsia"/>
          <w:color w:val="auto"/>
          <w:highlight w:val="none"/>
        </w:rPr>
        <w:t xml:space="preserve">。</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2、乙方应按期完成甲方的委托，按期完成约定的相关工作。</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3、乙方应依照法律法规、行业技术标准及合同约定内容，开展服务。</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4、乙方应当及时向甲方报告项目的进展情况。</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5、乙方应提供的人员、设备。</w:t>
      </w:r>
      <w:r/>
    </w:p>
    <w:p>
      <w:pPr>
        <w:pStyle w:val="929"/>
        <w:ind w:firstLine="480"/>
        <w:spacing w:before="0" w:beforeAutospacing="0" w:after="0" w:afterAutospacing="0" w:line="360" w:lineRule="auto"/>
        <w:rPr>
          <w:color w:val="auto"/>
          <w:highlight w:val="none"/>
        </w:rPr>
      </w:pPr>
      <w:r>
        <w:rPr>
          <w:rFonts w:hint="eastAsia"/>
          <w:color w:val="auto"/>
          <w:highlight w:val="none"/>
        </w:rPr>
        <w:t xml:space="preserve">6、乙方应当接受甲方对服务活动的监督和考核，有权对考核结果提出异议。</w:t>
      </w:r>
      <w:r/>
    </w:p>
    <w:p>
      <w:pPr>
        <w:jc w:val="left"/>
        <w:spacing w:line="560" w:lineRule="exact"/>
        <w:rPr>
          <w:rFonts w:ascii="宋体" w:hAnsi="宋体" w:cs="宋体"/>
          <w:color w:val="auto"/>
          <w:sz w:val="24"/>
          <w:highlight w:val="none"/>
          <w:u w:val="single"/>
        </w:rPr>
      </w:pPr>
      <w:r>
        <w:rPr>
          <w:rFonts w:hint="eastAsia" w:ascii="宋体" w:hAnsi="宋体" w:cs="宋体"/>
          <w:b/>
          <w:color w:val="auto"/>
          <w:sz w:val="24"/>
          <w:highlight w:val="none"/>
        </w:rPr>
        <w:t xml:space="preserve">八、成果权属和保密条款</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本项目的规划编制成果（包括过程性成果和最终成果）的知识产权归甲方所有，未经甲方允许，乙方不能对外发布或向第三方提供。乙方所提交的最终成果不得侵犯第三方知识产权，否则由乙方承担相应的法律责任。</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2、乙方承诺在规划编制过程中按照国家保密法律法规及甲方的要求，做好有关保密工作，乙方保证规划编制过程中有关信息、文件等对第三方保密，非经甲方同意，不得公开或向第三方提供。</w:t>
      </w:r>
      <w:r/>
    </w:p>
    <w:p>
      <w:pPr>
        <w:jc w:val="left"/>
        <w:spacing w:line="560" w:lineRule="exact"/>
        <w:rPr>
          <w:rFonts w:ascii="宋体" w:hAnsi="宋体" w:cs="宋体"/>
          <w:b/>
          <w:color w:val="auto"/>
          <w:sz w:val="24"/>
          <w:highlight w:val="none"/>
        </w:rPr>
      </w:pPr>
      <w:r>
        <w:rPr>
          <w:rFonts w:hint="eastAsia" w:ascii="宋体" w:hAnsi="宋体" w:cs="宋体"/>
          <w:b/>
          <w:color w:val="auto"/>
          <w:sz w:val="24"/>
          <w:highlight w:val="none"/>
        </w:rPr>
        <w:t xml:space="preserve">九、违约责任</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1、规划编制最终成果未通过上级有关部门的审查验收的，甲方不再支付合同价款；由此给甲方造成损失的，乙方应承担相应赔偿责任。同时，甲方可要求乙方限期修改规划编制成果，直至符合甲方要求。</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2、由于乙方原因延误交付规划成果文件，每延误一天，向甲方支付合同价款0.5%的违约金。延误超过10天，甲方有权解除合同，对甲方造成的一切损失均由乙方承担。</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3、乙方未经甲方同意公开发表规划编制成果的，承担侵权的法律责任。</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4、乙方在规划编制过程中，未遵守保密规定，致使甲方有关秘密泄露的，依法承担相应责任，由此给甲方造成损失的，应承担赔偿责任。</w:t>
      </w:r>
      <w:r/>
    </w:p>
    <w:p>
      <w:pPr>
        <w:pStyle w:val="915"/>
        <w:ind w:firstLine="480"/>
        <w:jc w:val="left"/>
        <w:spacing w:line="560" w:lineRule="exact"/>
        <w:rPr>
          <w:rFonts w:hAnsi="宋体" w:cs="宋体"/>
          <w:color w:val="auto"/>
          <w:sz w:val="24"/>
          <w:szCs w:val="24"/>
          <w:highlight w:val="none"/>
        </w:rPr>
      </w:pPr>
      <w:r>
        <w:rPr>
          <w:rFonts w:hint="eastAsia" w:hAnsi="宋体" w:cs="宋体"/>
          <w:color w:val="auto"/>
          <w:sz w:val="24"/>
          <w:szCs w:val="24"/>
          <w:highlight w:val="none"/>
        </w:rPr>
        <w:t xml:space="preserve">5、乙方在规划编制过程中，出现剽窃、抄袭等侵犯他人知识产权的行为，由乙方承担相应责任，由此给甲方造成损失的，应承担相关责任。</w:t>
      </w:r>
      <w:r/>
    </w:p>
    <w:p>
      <w:pPr>
        <w:pStyle w:val="915"/>
        <w:jc w:val="left"/>
        <w:spacing w:line="560" w:lineRule="exact"/>
        <w:rPr>
          <w:rFonts w:hAnsi="宋体" w:cs="宋体"/>
          <w:b/>
          <w:color w:val="auto"/>
          <w:sz w:val="24"/>
          <w:szCs w:val="24"/>
          <w:highlight w:val="none"/>
        </w:rPr>
      </w:pPr>
      <w:r>
        <w:rPr>
          <w:rFonts w:hint="eastAsia" w:hAnsi="宋体" w:cs="宋体"/>
          <w:b/>
          <w:color w:val="auto"/>
          <w:sz w:val="24"/>
          <w:szCs w:val="24"/>
          <w:highlight w:val="none"/>
        </w:rPr>
        <w:t xml:space="preserve">十、争议解决</w:t>
      </w:r>
      <w:bookmarkStart w:id="36" w:name="_GoBack"/>
      <w:r/>
      <w:bookmarkEnd w:id="36"/>
      <w:r/>
      <w:r/>
    </w:p>
    <w:p>
      <w:pPr>
        <w:pStyle w:val="915"/>
        <w:ind w:firstLine="480"/>
        <w:jc w:val="left"/>
        <w:spacing w:line="560" w:lineRule="exact"/>
        <w:rPr>
          <w:rFonts w:hAnsi="宋体" w:cs="宋体"/>
          <w:color w:val="auto"/>
          <w:sz w:val="24"/>
          <w:szCs w:val="24"/>
          <w:highlight w:val="none"/>
        </w:rPr>
      </w:pPr>
      <w:r>
        <w:rPr>
          <w:rFonts w:hint="eastAsia" w:hAnsi="宋体" w:cs="宋体"/>
          <w:color w:val="auto"/>
          <w:sz w:val="24"/>
          <w:szCs w:val="24"/>
          <w:highlight w:val="none"/>
        </w:rPr>
        <w:t xml:space="preserve">双方在执行合同中所发生的一切争议，应通过协商解决。如协商不成，可向合同签订地法院起诉，合同签订地在此约定为徐州市。</w:t>
      </w:r>
      <w:r/>
    </w:p>
    <w:p>
      <w:pPr>
        <w:pStyle w:val="915"/>
        <w:jc w:val="left"/>
        <w:spacing w:line="560" w:lineRule="exact"/>
        <w:rPr>
          <w:rFonts w:hAnsi="宋体" w:cs="宋体"/>
          <w:b/>
          <w:color w:val="auto"/>
          <w:sz w:val="24"/>
          <w:szCs w:val="24"/>
          <w:highlight w:val="none"/>
        </w:rPr>
      </w:pPr>
      <w:r>
        <w:rPr>
          <w:rFonts w:hint="eastAsia" w:hAnsi="宋体" w:cs="宋体"/>
          <w:b/>
          <w:color w:val="auto"/>
          <w:sz w:val="24"/>
          <w:szCs w:val="24"/>
          <w:highlight w:val="none"/>
        </w:rPr>
        <w:t xml:space="preserve">十一、合同生效及其它</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1、合同经双方法定代表人或委托代理人签字并加盖单位公章后生效。</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2、本合同履行期间，如需变更或解除，须经双方协商同意，另签书面补充修改协议后方可生效。未经甲方书面同意，乙方不得转让或部分转让本合同。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3、本合同附件与本合同具有同等法律效力。</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4、本合同未尽事宜，遵照《中华人民共和国民法典》有关条文执行。</w:t>
      </w:r>
      <w:r/>
    </w:p>
    <w:p>
      <w:pPr>
        <w:ind w:firstLine="480"/>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zh-CN"/>
        </w:rPr>
        <w:t xml:space="preserve">本合同一式肆份，甲乙双方各执</w:t>
      </w:r>
      <w:r>
        <w:rPr>
          <w:rFonts w:hint="eastAsia" w:ascii="宋体" w:hAnsi="宋体" w:cs="宋体"/>
          <w:color w:val="auto"/>
          <w:sz w:val="24"/>
          <w:highlight w:val="none"/>
        </w:rPr>
        <w:t xml:space="preserve">贰</w:t>
      </w:r>
      <w:r>
        <w:rPr>
          <w:rFonts w:hint="eastAsia" w:ascii="宋体" w:hAnsi="宋体" w:cs="宋体"/>
          <w:color w:val="auto"/>
          <w:sz w:val="24"/>
          <w:highlight w:val="none"/>
          <w:lang w:val="zh-CN"/>
        </w:rPr>
        <w:t xml:space="preserve">份，</w:t>
      </w:r>
      <w:r>
        <w:rPr>
          <w:rFonts w:hint="eastAsia" w:ascii="宋体" w:hAnsi="宋体" w:cs="宋体"/>
          <w:color w:val="auto"/>
          <w:sz w:val="24"/>
          <w:highlight w:val="none"/>
        </w:rPr>
        <w:t xml:space="preserve">具有同等法律效力。</w:t>
      </w:r>
      <w:r/>
    </w:p>
    <w:p>
      <w:pPr>
        <w:pStyle w:val="915"/>
        <w:jc w:val="left"/>
        <w:spacing w:line="560" w:lineRule="exact"/>
        <w:rPr>
          <w:rFonts w:hAnsi="宋体" w:cs="宋体"/>
          <w:color w:val="auto"/>
          <w:sz w:val="24"/>
          <w:szCs w:val="24"/>
          <w:highlight w:val="none"/>
        </w:rPr>
      </w:pPr>
      <w:r>
        <w:rPr>
          <w:rFonts w:hAnsi="宋体" w:cs="宋体"/>
          <w:color w:val="auto"/>
          <w:sz w:val="24"/>
          <w:szCs w:val="24"/>
          <w:highlight w:val="none"/>
        </w:rPr>
      </w:r>
      <w:r/>
    </w:p>
    <w:p>
      <w:pPr>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甲方（公章）：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乙方（公章）：</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jc w:val="left"/>
        <w:spacing w:line="560" w:lineRule="exact"/>
        <w:rPr>
          <w:rFonts w:ascii="宋体" w:hAnsi="宋体" w:cs="宋体"/>
          <w:color w:val="auto"/>
          <w:sz w:val="24"/>
          <w:highlight w:val="none"/>
          <w:u w:val="single"/>
        </w:rPr>
      </w:pPr>
      <w:r>
        <w:rPr>
          <w:rFonts w:hint="eastAsia" w:ascii="宋体" w:hAnsi="宋体" w:cs="宋体"/>
          <w:color w:val="auto"/>
          <w:sz w:val="24"/>
          <w:highlight w:val="none"/>
        </w:rPr>
        <w:t xml:space="preserve">地址：</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地址：</w:t>
      </w:r>
      <w:r>
        <w:rPr>
          <w:rFonts w:hint="eastAsia" w:ascii="宋体" w:hAnsi="宋体" w:cs="宋体"/>
          <w:color w:val="auto"/>
          <w:sz w:val="24"/>
          <w:highlight w:val="none"/>
          <w:u w:val="single"/>
        </w:rPr>
        <w:t xml:space="preserve">                              </w:t>
      </w:r>
      <w:r/>
    </w:p>
    <w:p>
      <w:pPr>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法定代表人或委托代理人：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法定代表人或委托代理人：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开户行：</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开户行：</w:t>
      </w:r>
      <w:r>
        <w:rPr>
          <w:rFonts w:hint="eastAsia" w:ascii="宋体" w:hAnsi="宋体" w:cs="宋体"/>
          <w:color w:val="auto"/>
          <w:sz w:val="24"/>
          <w:highlight w:val="none"/>
          <w:u w:val="single"/>
        </w:rPr>
        <w:t xml:space="preserve">                            </w:t>
      </w:r>
      <w:r/>
    </w:p>
    <w:p>
      <w:pPr>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账号：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账号：</w:t>
      </w:r>
      <w:r>
        <w:rPr>
          <w:rFonts w:hint="eastAsia" w:ascii="宋体" w:hAnsi="宋体" w:cs="宋体"/>
          <w:color w:val="auto"/>
          <w:sz w:val="24"/>
          <w:highlight w:val="none"/>
          <w:u w:val="single"/>
        </w:rPr>
        <w:t xml:space="preserve">                              </w:t>
      </w:r>
      <w:r/>
    </w:p>
    <w:p>
      <w:pPr>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电话：</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jc w:val="left"/>
        <w:spacing w:line="560" w:lineRule="exact"/>
        <w:rPr>
          <w:rFonts w:ascii="宋体" w:hAnsi="宋体" w:cs="宋体"/>
          <w:color w:val="auto"/>
          <w:sz w:val="24"/>
          <w:highlight w:val="none"/>
        </w:rPr>
      </w:pPr>
      <w:r>
        <w:rPr>
          <w:rFonts w:hint="eastAsia" w:ascii="宋体" w:hAnsi="宋体" w:cs="宋体"/>
          <w:color w:val="auto"/>
          <w:sz w:val="24"/>
          <w:highlight w:val="none"/>
        </w:rPr>
        <w:t xml:space="preserve">传真：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传真：</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                     </w:t>
      </w:r>
      <w:r/>
    </w:p>
    <w:p>
      <w:pPr>
        <w:pStyle w:val="915"/>
        <w:jc w:val="left"/>
        <w:spacing w:line="560" w:lineRule="exact"/>
        <w:rPr>
          <w:rFonts w:hAnsi="宋体" w:cs="宋体"/>
          <w:b/>
          <w:color w:val="auto"/>
          <w:sz w:val="36"/>
          <w:highlight w:val="none"/>
        </w:rPr>
      </w:pPr>
      <w:r>
        <w:rPr>
          <w:rFonts w:hint="eastAsia" w:hAnsi="宋体" w:cs="宋体"/>
          <w:color w:val="auto"/>
          <w:sz w:val="24"/>
          <w:szCs w:val="24"/>
          <w:highlight w:val="none"/>
        </w:rPr>
        <w:t xml:space="preserve">签订日期：      年  月  日</w:t>
      </w:r>
      <w:bookmarkEnd w:id="14"/>
      <w:r/>
      <w:bookmarkEnd w:id="15"/>
      <w:r/>
      <w:r/>
    </w:p>
    <w:p>
      <w:pPr>
        <w:pStyle w:val="1062"/>
        <w:jc w:val="center"/>
        <w:spacing w:after="312" w:line="520" w:lineRule="exact"/>
        <w:rPr>
          <w:rFonts w:hint="eastAsia" w:hAnsi="宋体" w:cs="宋体"/>
          <w:b/>
          <w:color w:val="auto"/>
          <w:sz w:val="36"/>
          <w:highlight w:val="none"/>
        </w:rPr>
      </w:pPr>
      <w:r>
        <w:rPr>
          <w:rFonts w:hint="eastAsia" w:hAnsi="宋体" w:cs="宋体"/>
          <w:b/>
          <w:color w:val="auto"/>
          <w:sz w:val="36"/>
          <w:highlight w:val="none"/>
        </w:rPr>
      </w:r>
      <w:r/>
    </w:p>
    <w:p>
      <w:pPr>
        <w:pStyle w:val="1062"/>
        <w:jc w:val="center"/>
        <w:spacing w:after="312" w:line="520" w:lineRule="exact"/>
        <w:rPr>
          <w:rFonts w:hint="eastAsia" w:hAnsi="宋体" w:cs="宋体"/>
          <w:b/>
          <w:color w:val="auto"/>
          <w:sz w:val="36"/>
          <w:highlight w:val="none"/>
        </w:rPr>
      </w:pPr>
      <w:r>
        <w:rPr>
          <w:rFonts w:hint="eastAsia" w:hAnsi="宋体" w:cs="宋体"/>
          <w:b/>
          <w:color w:val="auto"/>
          <w:sz w:val="36"/>
          <w:highlight w:val="none"/>
        </w:rPr>
      </w:r>
      <w:r/>
    </w:p>
    <w:p>
      <w:pPr>
        <w:pStyle w:val="1062"/>
        <w:jc w:val="center"/>
        <w:spacing w:after="312" w:line="520" w:lineRule="exact"/>
        <w:rPr>
          <w:rFonts w:hint="eastAsia" w:hAnsi="宋体" w:cs="宋体"/>
          <w:b/>
          <w:color w:val="auto"/>
          <w:sz w:val="36"/>
          <w:highlight w:val="none"/>
        </w:rPr>
      </w:pPr>
      <w:r>
        <w:rPr>
          <w:rFonts w:hint="eastAsia" w:hAnsi="宋体" w:cs="宋体"/>
          <w:b/>
          <w:color w:val="auto"/>
          <w:sz w:val="36"/>
          <w:highlight w:val="none"/>
        </w:rPr>
      </w:r>
      <w:r/>
    </w:p>
    <w:p>
      <w:pPr>
        <w:pStyle w:val="1062"/>
        <w:jc w:val="center"/>
        <w:spacing w:after="312" w:line="520" w:lineRule="exact"/>
        <w:rPr>
          <w:rFonts w:hint="eastAsia" w:hAnsi="宋体" w:cs="宋体"/>
          <w:b/>
          <w:color w:val="auto"/>
          <w:sz w:val="36"/>
          <w:highlight w:val="none"/>
        </w:rPr>
      </w:pPr>
      <w:r>
        <w:rPr>
          <w:rFonts w:hint="eastAsia" w:hAnsi="宋体" w:cs="宋体"/>
          <w:b/>
          <w:color w:val="auto"/>
          <w:sz w:val="36"/>
          <w:highlight w:val="none"/>
        </w:rPr>
      </w:r>
      <w:r/>
    </w:p>
    <w:p>
      <w:pPr>
        <w:pStyle w:val="1062"/>
        <w:jc w:val="center"/>
        <w:spacing w:after="312" w:line="520" w:lineRule="exact"/>
        <w:rPr>
          <w:rFonts w:hint="eastAsia" w:hAnsi="宋体" w:cs="宋体"/>
          <w:b/>
          <w:color w:val="auto"/>
          <w:sz w:val="36"/>
          <w:highlight w:val="none"/>
        </w:rPr>
      </w:pPr>
      <w:r>
        <w:rPr>
          <w:rFonts w:hint="eastAsia" w:hAnsi="宋体" w:cs="宋体"/>
          <w:b/>
          <w:color w:val="auto"/>
          <w:sz w:val="36"/>
          <w:highlight w:val="none"/>
        </w:rPr>
      </w:r>
      <w:r/>
    </w:p>
    <w:p>
      <w:pPr>
        <w:pStyle w:val="1062"/>
        <w:jc w:val="center"/>
        <w:spacing w:after="312" w:line="520" w:lineRule="exact"/>
        <w:rPr>
          <w:rFonts w:hint="eastAsia" w:hAnsi="宋体" w:cs="宋体"/>
          <w:b/>
          <w:color w:val="auto"/>
          <w:sz w:val="36"/>
          <w:highlight w:val="none"/>
        </w:rPr>
      </w:pPr>
      <w:r>
        <w:rPr>
          <w:rFonts w:hint="eastAsia" w:hAnsi="宋体" w:cs="宋体"/>
          <w:b/>
          <w:color w:val="auto"/>
          <w:sz w:val="36"/>
          <w:highlight w:val="none"/>
        </w:rPr>
      </w:r>
      <w:r/>
    </w:p>
    <w:p>
      <w:pPr>
        <w:pStyle w:val="1062"/>
        <w:jc w:val="center"/>
        <w:spacing w:after="312" w:line="520" w:lineRule="exact"/>
        <w:rPr>
          <w:rFonts w:hint="eastAsia" w:hAnsi="宋体" w:cs="宋体"/>
          <w:b/>
          <w:color w:val="auto"/>
          <w:sz w:val="36"/>
          <w:highlight w:val="none"/>
        </w:rPr>
      </w:pPr>
      <w:r>
        <w:rPr>
          <w:rFonts w:hint="eastAsia" w:hAnsi="宋体" w:cs="宋体"/>
          <w:b/>
          <w:color w:val="auto"/>
          <w:sz w:val="36"/>
          <w:highlight w:val="none"/>
        </w:rPr>
      </w:r>
      <w:r/>
    </w:p>
    <w:p>
      <w:pPr>
        <w:pStyle w:val="1062"/>
        <w:jc w:val="center"/>
        <w:spacing w:after="312" w:line="520" w:lineRule="exact"/>
        <w:rPr>
          <w:rFonts w:hint="eastAsia" w:hAnsi="宋体" w:cs="宋体"/>
          <w:b/>
          <w:color w:val="auto"/>
          <w:sz w:val="36"/>
          <w:highlight w:val="none"/>
        </w:rPr>
      </w:pPr>
      <w:r>
        <w:rPr>
          <w:rFonts w:hint="eastAsia" w:hAnsi="宋体" w:cs="宋体"/>
          <w:b/>
          <w:color w:val="auto"/>
          <w:sz w:val="36"/>
          <w:highlight w:val="none"/>
        </w:rPr>
      </w:r>
      <w:r/>
    </w:p>
    <w:p>
      <w:pPr>
        <w:pStyle w:val="1062"/>
        <w:jc w:val="center"/>
        <w:spacing w:after="312" w:line="520" w:lineRule="exact"/>
        <w:rPr>
          <w:rFonts w:hint="eastAsia" w:hAnsi="宋体" w:cs="宋体"/>
          <w:b/>
          <w:color w:val="auto"/>
          <w:sz w:val="36"/>
          <w:highlight w:val="none"/>
        </w:rPr>
      </w:pPr>
      <w:r>
        <w:rPr>
          <w:rFonts w:hint="eastAsia" w:hAnsi="宋体" w:cs="宋体"/>
          <w:b/>
          <w:color w:val="auto"/>
          <w:sz w:val="36"/>
          <w:highlight w:val="none"/>
        </w:rPr>
      </w:r>
      <w:r/>
    </w:p>
    <w:p>
      <w:pPr>
        <w:pStyle w:val="1062"/>
        <w:jc w:val="center"/>
        <w:spacing w:after="312" w:line="520" w:lineRule="exact"/>
        <w:rPr>
          <w:rFonts w:hint="eastAsia" w:hAnsi="宋体" w:cs="宋体"/>
          <w:b/>
          <w:color w:val="auto"/>
          <w:sz w:val="36"/>
          <w:highlight w:val="none"/>
        </w:rPr>
      </w:pPr>
      <w:r>
        <w:rPr>
          <w:rFonts w:hint="eastAsia" w:hAnsi="宋体" w:cs="宋体"/>
          <w:b/>
          <w:color w:val="auto"/>
          <w:sz w:val="36"/>
          <w:highlight w:val="none"/>
        </w:rPr>
      </w:r>
      <w:r/>
    </w:p>
    <w:p>
      <w:pPr>
        <w:pStyle w:val="1062"/>
        <w:jc w:val="center"/>
        <w:spacing w:after="312" w:line="520" w:lineRule="exact"/>
        <w:rPr>
          <w:rFonts w:hint="eastAsia" w:hAnsi="宋体" w:cs="宋体"/>
          <w:b/>
          <w:color w:val="auto"/>
          <w:sz w:val="36"/>
          <w:highlight w:val="none"/>
        </w:rPr>
      </w:pPr>
      <w:r>
        <w:rPr>
          <w:rFonts w:hint="eastAsia" w:hAnsi="宋体" w:cs="宋体"/>
          <w:b/>
          <w:color w:val="auto"/>
          <w:sz w:val="36"/>
          <w:highlight w:val="none"/>
        </w:rPr>
      </w:r>
      <w:r/>
    </w:p>
    <w:p>
      <w:pPr>
        <w:pStyle w:val="1062"/>
        <w:jc w:val="center"/>
        <w:spacing w:after="312" w:line="520" w:lineRule="exact"/>
        <w:rPr>
          <w:rFonts w:hAnsi="宋体" w:cs="宋体"/>
          <w:b/>
          <w:color w:val="auto"/>
          <w:sz w:val="36"/>
          <w:highlight w:val="none"/>
        </w:rPr>
      </w:pPr>
      <w:r>
        <w:rPr>
          <w:rFonts w:hint="eastAsia" w:hAnsi="宋体" w:cs="宋体"/>
          <w:b/>
          <w:color w:val="auto"/>
          <w:sz w:val="36"/>
          <w:highlight w:val="none"/>
        </w:rPr>
        <w:t xml:space="preserve">7、承诺书</w:t>
      </w:r>
      <w:r/>
    </w:p>
    <w:p>
      <w:pPr>
        <w:spacing w:line="288" w:lineRule="auto"/>
        <w:rPr>
          <w:rFonts w:ascii="宋体" w:hAnsi="宋体" w:cs="宋体"/>
          <w:b/>
          <w:bCs/>
          <w:color w:val="auto"/>
          <w:sz w:val="24"/>
          <w:highlight w:val="none"/>
        </w:rPr>
      </w:pPr>
      <w:r>
        <w:rPr>
          <w:rFonts w:hint="eastAsia" w:ascii="宋体" w:hAnsi="宋体" w:cs="宋体"/>
          <w:b/>
          <w:bCs/>
          <w:color w:val="auto"/>
          <w:sz w:val="24"/>
          <w:highlight w:val="none"/>
        </w:rPr>
        <w:t xml:space="preserve">致：</w:t>
      </w:r>
      <w:r>
        <w:rPr>
          <w:rFonts w:hint="eastAsia" w:ascii="宋体" w:hAnsi="宋体" w:cs="宋体"/>
          <w:b/>
          <w:bCs/>
          <w:color w:val="auto"/>
          <w:sz w:val="24"/>
          <w:highlight w:val="none"/>
          <w:u w:val="single"/>
        </w:rPr>
        <w:t xml:space="preserve">徐州市自然资源和规划局</w:t>
      </w:r>
      <w:r/>
    </w:p>
    <w:p>
      <w:pPr>
        <w:pStyle w:val="1104"/>
        <w:ind w:firstLine="480"/>
        <w:spacing w:line="288" w:lineRule="auto"/>
        <w:rPr>
          <w:rFonts w:ascii="宋体" w:hAnsi="宋体" w:cs="宋体"/>
          <w:color w:val="auto"/>
          <w:sz w:val="24"/>
          <w:szCs w:val="24"/>
          <w:highlight w:val="none"/>
        </w:rPr>
      </w:pPr>
      <w:r>
        <w:rPr>
          <w:rFonts w:ascii="宋体" w:hAnsi="宋体" w:cs="宋体"/>
          <w:color w:val="auto"/>
          <w:sz w:val="24"/>
          <w:szCs w:val="24"/>
          <w:highlight w:val="none"/>
        </w:rPr>
      </w:r>
      <w:r/>
    </w:p>
    <w:p>
      <w:pPr>
        <w:pStyle w:val="1104"/>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根据贵方《</w:t>
      </w:r>
      <w:r>
        <w:rPr>
          <w:rFonts w:hint="eastAsia" w:ascii="宋体" w:hAnsi="宋体" w:cs="宋体"/>
          <w:bCs/>
          <w:color w:val="auto"/>
          <w:sz w:val="24"/>
          <w:szCs w:val="24"/>
          <w:highlight w:val="none"/>
        </w:rPr>
        <w:t xml:space="preserve">磋商文件</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）要求，本供应商正式提交以下首次响应文件。</w:t>
      </w:r>
      <w:r/>
    </w:p>
    <w:p>
      <w:pPr>
        <w:pStyle w:val="1104"/>
        <w:ind w:firstLine="480"/>
        <w:spacing w:line="288" w:lineRule="auto"/>
        <w:rPr>
          <w:rFonts w:ascii="宋体" w:hAnsi="宋体" w:cs="宋体"/>
          <w:color w:val="auto"/>
          <w:sz w:val="24"/>
          <w:szCs w:val="24"/>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6" name="直接连接符 9"/>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9264;mso-wrap-distance-left:9.0pt;mso-wrap-distance-top:0.0pt;mso-wrap-distance-right:9.0pt;mso-wrap-distance-bottom:0.0pt;flip:y;visibility:visible;" from="147.0pt,1.3pt" to="147.1pt,2.6pt" fillcolor="#FFFFFF" strokecolor="#000000"/>
            </w:pict>
          </mc:Fallback>
        </mc:AlternateContent>
      </w:r>
      <w:r>
        <w:rPr>
          <w:rFonts w:hint="eastAsia" w:ascii="宋体" w:hAnsi="宋体" w:cs="宋体"/>
          <w:color w:val="auto"/>
          <w:sz w:val="24"/>
          <w:szCs w:val="24"/>
          <w:highlight w:val="none"/>
        </w:rPr>
        <w:t xml:space="preserve">（1）承诺书； </w:t>
      </w:r>
      <w:r/>
    </w:p>
    <w:p>
      <w:pPr>
        <w:pStyle w:val="1104"/>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（2）磋商报价表； </w:t>
      </w:r>
      <w:r/>
    </w:p>
    <w:p>
      <w:pPr>
        <w:pStyle w:val="1104"/>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（3）偏离表；</w:t>
      </w:r>
      <w:r/>
    </w:p>
    <w:p>
      <w:pPr>
        <w:pStyle w:val="1104"/>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（4）磋商</w:t>
      </w:r>
      <w:r>
        <w:rPr>
          <w:rFonts w:hint="eastAsia" w:ascii="宋体" w:hAnsi="宋体" w:cs="宋体"/>
          <w:bCs/>
          <w:color w:val="auto"/>
          <w:sz w:val="24"/>
          <w:szCs w:val="24"/>
          <w:highlight w:val="none"/>
        </w:rPr>
        <w:t xml:space="preserve">文件</w:t>
      </w:r>
      <w:r>
        <w:rPr>
          <w:rFonts w:hint="eastAsia" w:ascii="宋体" w:hAnsi="宋体" w:cs="宋体"/>
          <w:color w:val="auto"/>
          <w:sz w:val="24"/>
          <w:szCs w:val="24"/>
          <w:highlight w:val="none"/>
        </w:rPr>
        <w:t xml:space="preserve">要求提供的其他响应文件。</w:t>
      </w:r>
      <w:r/>
    </w:p>
    <w:p>
      <w:pPr>
        <w:pStyle w:val="1104"/>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我单位符合《中华人民共和国政府采购法》第二十二条的规定，符合本项目供应商资格要求。</w:t>
      </w:r>
      <w:r/>
    </w:p>
    <w:p>
      <w:pPr>
        <w:pStyle w:val="1104"/>
        <w:ind w:firstLine="480"/>
        <w:spacing w:line="288"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我单位按照磋商文件的要求编制响应文件，并对其提交的响应文件的真实性、合法性承担法律责任。</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供应商兹宣布同意如下: </w:t>
      </w:r>
      <w:r/>
    </w:p>
    <w:p>
      <w:pPr>
        <w:pStyle w:val="1104"/>
        <w:ind w:firstLine="480"/>
        <w:spacing w:line="288" w:lineRule="auto"/>
        <w:rPr>
          <w:rFonts w:ascii="宋体" w:hAnsi="宋体" w:cs="宋体"/>
          <w:color w:val="auto"/>
          <w:sz w:val="24"/>
          <w:szCs w:val="24"/>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7"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60288;mso-wrap-distance-left:9.0pt;mso-wrap-distance-top:0.0pt;mso-wrap-distance-right:9.0pt;mso-wrap-distance-bottom:0.0pt;visibility:visible;" from="246.8pt,23.4pt" to="246.8pt,23.4pt" fillcolor="#FFFFFF" strokecolor="#000000"/>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8"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61312;mso-wrap-distance-left:9.0pt;mso-wrap-distance-top:0.0pt;mso-wrap-distance-right:9.0pt;mso-wrap-distance-bottom:0.0pt;visibility:visible;" from="220.5pt,46.8pt" to="220.6pt,46.8pt" fillcolor="#FFFFFF" strokecolor="#000000"/>
            </w:pict>
          </mc:Fallback>
        </mc:AlternateContent>
      </w:r>
      <w:r>
        <w:rPr>
          <w:rFonts w:hint="eastAsia" w:ascii="宋体" w:hAnsi="宋体" w:cs="宋体"/>
          <w:color w:val="auto"/>
          <w:sz w:val="24"/>
          <w:szCs w:val="24"/>
          <w:highlight w:val="none"/>
        </w:rPr>
        <w:t xml:space="preserve">一、完全承担根据《磋商文件》规定完成合同的责任和义务（如有偏离，将全部填写在偏离表中）。</w:t>
      </w:r>
      <w:r/>
    </w:p>
    <w:p>
      <w:pPr>
        <w:pStyle w:val="1104"/>
        <w:ind w:firstLine="480"/>
        <w:spacing w:line="288" w:lineRule="auto"/>
        <w:rPr>
          <w:rFonts w:ascii="宋体" w:hAnsi="宋体" w:cs="宋体"/>
          <w:color w:val="auto"/>
          <w:sz w:val="24"/>
          <w:szCs w:val="24"/>
          <w:highlight w:val="none"/>
        </w:rPr>
      </w:pP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2"/>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61312;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10" name="直接连接符 13"/>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9" o:spid="_x0000_s9" style="position:absolute;left:0;text-align:left;z-index:251662336;mso-wrap-distance-left:9.0pt;mso-wrap-distance-top:0.0pt;mso-wrap-distance-right:9.0pt;mso-wrap-distance-bottom:0.0pt;visibility:visible;" from="210.0pt,19.5pt" to="210.1pt,19.5pt" fillcolor="#FFFFFF" strokecolor="#000000"/>
            </w:pict>
          </mc:Fallback>
        </mc:AlternateContent>
      </w:r>
      <w:r>
        <w:rPr>
          <w:rFonts w:hint="eastAsia" w:ascii="宋体" w:hAnsi="宋体" w:cs="宋体"/>
          <w:color w:val="auto"/>
          <w:sz w:val="24"/>
          <w:szCs w:val="24"/>
          <w:highlight w:val="none"/>
        </w:rPr>
        <w:t xml:space="preserve">二、保证所提供的响应文件及所有材料的真实、合法、有效，并对其负责。</w:t>
      </w:r>
      <w:r/>
    </w:p>
    <w:p>
      <w:pPr>
        <w:ind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三、已详细审核竞争性磋商文件（含竞争性磋商文件的澄清或者修改），本供应商完全理解并同意放弃对这方面不明及误解的权利。</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四、所供货物保证符合国家有关产品质量、性能和安全标准，无权利瑕疵。</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五、报价有效期为30个工作日。</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六、同意向贵方提供贵方可能要求的与本次磋商采购有关的任何证据或资料。</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七、完全理解贵方不一定要接受最低的报价或收到的任何报价。</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八、采购人或采购代理机构有权将我单位本项目的《磋商报价表》和《分项价格表》予以公示，公示的方式由采购人或采购代理机构确定。</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九、采购人有权对供应商的响应文件的真实性进行核实，如供应商不能在采购人规定的时间内向采购人提供有效的证明文件，将被采购人视为放弃本项目中标（成交）资格。</w:t>
      </w:r>
      <w:r/>
    </w:p>
    <w:p>
      <w:pPr>
        <w:ind w:right="29" w:firstLine="480"/>
        <w:spacing w:line="288" w:lineRule="auto"/>
        <w:rPr>
          <w:rFonts w:ascii="宋体" w:hAnsi="宋体" w:cs="宋体"/>
          <w:color w:val="auto"/>
          <w:sz w:val="24"/>
          <w:highlight w:val="none"/>
        </w:rPr>
      </w:pPr>
      <w:r>
        <w:rPr>
          <w:rFonts w:ascii="宋体" w:hAnsi="宋体" w:cs="宋体"/>
          <w:color w:val="auto"/>
          <w:sz w:val="24"/>
          <w:highlight w:val="none"/>
        </w:rPr>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供应商（电子签章）：</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法定代表人（负责人)或授权代表（签字或盖章）：  </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联系电话：</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移动电话：</w:t>
      </w:r>
      <w:r/>
    </w:p>
    <w:p>
      <w:pPr>
        <w:ind w:right="29" w:firstLine="480"/>
        <w:spacing w:line="288" w:lineRule="auto"/>
        <w:rPr>
          <w:rFonts w:ascii="宋体" w:hAnsi="宋体" w:cs="宋体"/>
          <w:color w:val="auto"/>
          <w:sz w:val="24"/>
          <w:highlight w:val="none"/>
        </w:rPr>
      </w:pPr>
      <w:r>
        <w:rPr>
          <w:rFonts w:hint="eastAsia" w:ascii="宋体" w:hAnsi="宋体" w:cs="宋体"/>
          <w:color w:val="auto"/>
          <w:sz w:val="24"/>
          <w:highlight w:val="none"/>
        </w:rPr>
        <w:t xml:space="preserve">日期：</w:t>
      </w:r>
      <w:r>
        <w:rPr>
          <w:rFonts w:hint="eastAsia" w:ascii="宋体" w:hAnsi="宋体" w:cs="宋体"/>
          <w:color w:val="auto"/>
          <w:sz w:val="22"/>
          <w:szCs w:val="22"/>
          <w:highlight w:val="none"/>
        </w:rPr>
        <w:br w:type="page" w:clear="all"/>
      </w:r>
      <w:r>
        <w:rPr>
          <w:rFonts w:ascii="宋体" w:hAnsi="宋体" w:cs="宋体"/>
          <w:color w:val="auto"/>
          <w:sz w:val="24"/>
          <w:highlight w:val="none"/>
        </w:rPr>
      </w:r>
      <w:r/>
    </w:p>
    <w:p>
      <w:pPr>
        <w:jc w:val="center"/>
        <w:rPr>
          <w:rFonts w:ascii="宋体" w:hAnsi="宋体" w:cs="宋体"/>
          <w:b/>
          <w:color w:val="auto"/>
          <w:sz w:val="36"/>
          <w:highlight w:val="none"/>
        </w:rPr>
      </w:pPr>
      <w:r>
        <w:rPr>
          <w:rFonts w:hint="eastAsia" w:ascii="宋体" w:hAnsi="宋体" w:cs="宋体"/>
          <w:b/>
          <w:color w:val="auto"/>
          <w:sz w:val="36"/>
          <w:highlight w:val="none"/>
        </w:rPr>
        <w:t xml:space="preserve">8、授权委托书</w:t>
      </w:r>
      <w:r/>
    </w:p>
    <w:p>
      <w:pPr>
        <w:spacing w:line="500" w:lineRule="exact"/>
        <w:rPr>
          <w:rFonts w:ascii="宋体" w:hAnsi="宋体" w:cs="宋体"/>
          <w:color w:val="auto"/>
          <w:sz w:val="32"/>
          <w:highlight w:val="none"/>
        </w:rPr>
      </w:pPr>
      <w:r>
        <w:rPr>
          <w:rFonts w:ascii="宋体" w:hAnsi="宋体" w:cs="宋体"/>
          <w:color w:val="auto"/>
          <w:sz w:val="32"/>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委托人（全称）：</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  址：</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法定代表人：               </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统一社会信用代码：</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受托人：                  先生（女士）</w:t>
      </w:r>
      <w:r/>
    </w:p>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身份证号：</w:t>
      </w:r>
      <w:r/>
    </w:p>
    <w:p>
      <w:pPr>
        <w:jc w:val="center"/>
        <w:spacing w:line="360" w:lineRule="auto"/>
        <w:rPr>
          <w:rFonts w:ascii="宋体" w:hAnsi="宋体" w:cs="宋体"/>
          <w:color w:val="auto"/>
          <w:sz w:val="24"/>
          <w:highlight w:val="none"/>
        </w:rPr>
      </w:pPr>
      <w:r>
        <w:rPr>
          <w:rFonts w:ascii="宋体" w:hAnsi="宋体" w:cs="宋体"/>
          <w:color w:val="auto"/>
          <w:sz w:val="24"/>
          <w:highlight w:val="none"/>
        </w:rPr>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兹委托（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）全权代表我企业（公司）参与</w:t>
      </w:r>
      <w:r>
        <w:rPr>
          <w:rFonts w:hint="eastAsia" w:ascii="宋体" w:hAnsi="宋体" w:cs="宋体"/>
          <w:color w:val="auto"/>
          <w:sz w:val="24"/>
          <w:highlight w:val="none"/>
          <w:u w:val="single"/>
        </w:rPr>
        <w:t xml:space="preserve">          项目</w:t>
      </w:r>
      <w:r>
        <w:rPr>
          <w:rFonts w:hint="eastAsia" w:ascii="宋体" w:hAnsi="宋体" w:cs="宋体"/>
          <w:color w:val="auto"/>
          <w:sz w:val="24"/>
          <w:highlight w:val="none"/>
        </w:rPr>
        <w:t xml:space="preserve">[项目编号：</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]的磋商活动及签订合同。（</w:t>
      </w:r>
      <w:r>
        <w:rPr>
          <w:rFonts w:hint="eastAsia" w:ascii="宋体" w:hAnsi="宋体" w:cs="宋体"/>
          <w:b/>
          <w:color w:val="auto"/>
          <w:sz w:val="24"/>
          <w:highlight w:val="none"/>
          <w:u w:val="single"/>
        </w:rPr>
        <w:t xml:space="preserve">   </w:t>
      </w:r>
      <w:r>
        <w:rPr>
          <w:rFonts w:hint="eastAsia" w:ascii="宋体" w:hAnsi="宋体" w:cs="宋体"/>
          <w:color w:val="auto"/>
          <w:sz w:val="24"/>
          <w:highlight w:val="none"/>
        </w:rPr>
        <w:t xml:space="preserve">）以我企业（公司）名义所为的行为及签署的文件，我企业（公司）均予以认可。有关法律责任均由我企业（公司）承担。（</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）无转委托权。 </w:t>
      </w:r>
      <w:r/>
    </w:p>
    <w:p>
      <w:pPr>
        <w:ind w:firstLine="560"/>
        <w:spacing w:line="360" w:lineRule="auto"/>
        <w:rPr>
          <w:rFonts w:ascii="宋体" w:hAnsi="宋体" w:cs="宋体"/>
          <w:color w:val="auto"/>
          <w:sz w:val="24"/>
          <w:highlight w:val="none"/>
        </w:rPr>
      </w:pPr>
      <w:r>
        <w:rPr>
          <w:rFonts w:hint="eastAsia" w:ascii="宋体" w:hAnsi="宋体" w:cs="宋体"/>
          <w:color w:val="auto"/>
          <w:sz w:val="24"/>
          <w:highlight w:val="none"/>
        </w:rPr>
        <w:t xml:space="preserve"> 委托期限自</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日起至</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年</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月</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日止。</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委托人（电子签章）：</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法定代表人（签字或盖章）：</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联系方式：</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受托人（签字或盖章）：</w:t>
      </w:r>
      <w:r/>
    </w:p>
    <w:p>
      <w:pPr>
        <w:ind w:firstLine="4575"/>
        <w:spacing w:line="360" w:lineRule="auto"/>
        <w:rPr>
          <w:rFonts w:ascii="宋体" w:hAnsi="宋体" w:cs="宋体"/>
          <w:color w:val="auto"/>
          <w:sz w:val="24"/>
          <w:highlight w:val="none"/>
        </w:rPr>
      </w:pPr>
      <w:r>
        <w:rPr>
          <w:rFonts w:hint="eastAsia" w:ascii="宋体" w:hAnsi="宋体" w:cs="宋体"/>
          <w:color w:val="auto"/>
          <w:sz w:val="24"/>
          <w:highlight w:val="none"/>
        </w:rPr>
        <w:t xml:space="preserve">年   月   日</w:t>
      </w:r>
      <w:r/>
    </w:p>
    <w:p>
      <w:pPr>
        <w:spacing w:line="360" w:lineRule="auto"/>
        <w:rPr>
          <w:rFonts w:ascii="宋体" w:hAnsi="宋体" w:cs="宋体"/>
          <w:b/>
          <w:bCs/>
          <w:color w:val="auto"/>
          <w:sz w:val="24"/>
          <w:highlight w:val="none"/>
        </w:rPr>
      </w:pPr>
      <w:r>
        <w:rPr>
          <w:rFonts w:ascii="宋体" w:hAnsi="宋体" w:cs="宋体"/>
          <w:b/>
          <w:bCs/>
          <w:color w:val="auto"/>
          <w:sz w:val="24"/>
          <w:highlight w:val="none"/>
        </w:rPr>
      </w:r>
      <w:r/>
    </w:p>
    <w:p>
      <w:pPr>
        <w:spacing w:line="360" w:lineRule="auto"/>
        <w:rPr>
          <w:rFonts w:ascii="宋体" w:hAnsi="宋体" w:cs="宋体"/>
          <w:b/>
          <w:bCs/>
          <w:color w:val="auto"/>
          <w:sz w:val="24"/>
          <w:highlight w:val="none"/>
        </w:rPr>
      </w:pPr>
      <w:r>
        <w:rPr>
          <w:rFonts w:hint="eastAsia" w:ascii="宋体" w:hAnsi="宋体" w:cs="宋体"/>
          <w:b/>
          <w:bCs/>
          <w:color w:val="auto"/>
          <w:sz w:val="24"/>
          <w:highlight w:val="none"/>
        </w:rPr>
        <w:t xml:space="preserve">(受托人身份证扫描件附后)</w:t>
      </w:r>
      <w:r/>
    </w:p>
    <w:p>
      <w:pPr>
        <w:jc w:val="center"/>
        <w:spacing w:before="100" w:beforeAutospacing="1" w:after="100" w:afterAutospacing="1" w:line="450" w:lineRule="atLeast"/>
        <w:widowControl/>
        <w:rPr>
          <w:rFonts w:ascii="宋体" w:hAnsi="宋体" w:cs="宋体"/>
          <w:b/>
          <w:color w:val="auto"/>
          <w:sz w:val="36"/>
          <w:szCs w:val="36"/>
          <w:highlight w:val="none"/>
        </w:rPr>
      </w:pPr>
      <w:r>
        <w:rPr>
          <w:rFonts w:hint="eastAsia" w:ascii="宋体" w:hAnsi="宋体" w:cs="宋体"/>
          <w:b/>
          <w:color w:val="auto"/>
          <w:sz w:val="36"/>
          <w:szCs w:val="36"/>
          <w:highlight w:val="none"/>
        </w:rPr>
        <w:br w:type="page" w:clear="all"/>
      </w:r>
      <w:r>
        <w:rPr>
          <w:rFonts w:hint="eastAsia" w:ascii="宋体" w:hAnsi="宋体" w:cs="宋体"/>
          <w:b/>
          <w:color w:val="auto"/>
          <w:sz w:val="36"/>
          <w:szCs w:val="36"/>
          <w:highlight w:val="none"/>
        </w:rPr>
        <w:t xml:space="preserve">9、中小企业声明函</w:t>
      </w:r>
      <w:r/>
    </w:p>
    <w:p>
      <w:pPr>
        <w:ind w:firstLine="624"/>
        <w:jc w:val="left"/>
        <w:spacing w:line="480" w:lineRule="exact"/>
        <w:widowControl/>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项目名称：</w:t>
      </w:r>
      <w:r/>
    </w:p>
    <w:p>
      <w:pPr>
        <w:ind w:firstLine="624"/>
        <w:jc w:val="left"/>
        <w:spacing w:line="480" w:lineRule="exact"/>
        <w:widowControl/>
        <w:rPr>
          <w:rFonts w:ascii="宋体" w:hAnsi="宋体" w:cs="宋体"/>
          <w:color w:val="auto"/>
          <w:spacing w:val="6"/>
          <w:sz w:val="24"/>
          <w:highlight w:val="none"/>
        </w:rPr>
      </w:pPr>
      <w:r>
        <w:rPr>
          <w:rFonts w:hint="eastAsia" w:ascii="宋体" w:hAnsi="宋体" w:cs="宋体"/>
          <w:color w:val="auto"/>
          <w:spacing w:val="6"/>
          <w:sz w:val="24"/>
          <w:highlight w:val="none"/>
        </w:rPr>
        <w:t xml:space="preserve">项目编号：</w:t>
      </w:r>
      <w:r/>
    </w:p>
    <w:p>
      <w:pPr>
        <w:ind w:firstLine="60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本公司郑重声明，根据《政府采购促进中小企业发展管理办法》（财库﹝2020﹞46 号）的规定，本公司参加</w:t>
      </w:r>
      <w:r>
        <w:rPr>
          <w:rFonts w:hint="eastAsia" w:ascii="宋体" w:hAnsi="宋体" w:cs="宋体"/>
          <w:color w:val="auto"/>
          <w:sz w:val="24"/>
          <w:highlight w:val="none"/>
          <w:u w:val="single"/>
        </w:rPr>
        <w:t xml:space="preserve">（单位名称）</w:t>
      </w:r>
      <w:r>
        <w:rPr>
          <w:rFonts w:hint="eastAsia" w:ascii="宋体" w:hAnsi="宋体" w:cs="宋体"/>
          <w:color w:val="auto"/>
          <w:sz w:val="24"/>
          <w:highlight w:val="none"/>
        </w:rPr>
        <w:t xml:space="preserve">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采购活动，服务全部由符合政策要求的中小企业承接。相关企业的具体情况如下：</w:t>
      </w:r>
      <w:r/>
    </w:p>
    <w:p>
      <w:pPr>
        <w:ind w:firstLine="600"/>
        <w:jc w:val="left"/>
        <w:spacing w:line="480" w:lineRule="exact"/>
        <w:widowControl/>
        <w:rPr>
          <w:rFonts w:ascii="宋体" w:hAnsi="宋体" w:cs="宋体"/>
          <w:color w:val="auto"/>
          <w:spacing w:val="6"/>
          <w:sz w:val="24"/>
          <w:highlight w:val="none"/>
        </w:rPr>
      </w:pPr>
      <w:r>
        <w:rPr>
          <w:rFonts w:hint="eastAsia" w:ascii="宋体" w:hAnsi="宋体" w:cs="宋体"/>
          <w:color w:val="auto"/>
          <w:sz w:val="24"/>
          <w:highlight w:val="none"/>
          <w:u w:val="single"/>
        </w:rPr>
        <w:t xml:space="preserve">（标的名称）</w:t>
      </w:r>
      <w:r>
        <w:rPr>
          <w:rFonts w:hint="eastAsia" w:ascii="宋体" w:hAnsi="宋体" w:cs="宋体"/>
          <w:color w:val="auto"/>
          <w:sz w:val="24"/>
          <w:highlight w:val="none"/>
        </w:rPr>
        <w:t xml:space="preserve">，属于</w:t>
      </w:r>
      <w:r>
        <w:rPr>
          <w:rFonts w:hint="eastAsia" w:ascii="宋体" w:hAnsi="宋体" w:cs="宋体"/>
          <w:color w:val="auto"/>
          <w:sz w:val="24"/>
          <w:highlight w:val="none"/>
          <w:u w:val="single"/>
        </w:rPr>
        <w:t xml:space="preserve">（其他未列明行业）</w:t>
      </w:r>
      <w:r>
        <w:rPr>
          <w:rFonts w:hint="eastAsia"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（企业名称）</w:t>
      </w:r>
      <w:r>
        <w:rPr>
          <w:rFonts w:hint="eastAsia" w:ascii="宋体" w:hAnsi="宋体" w:cs="宋体"/>
          <w:color w:val="auto"/>
          <w:sz w:val="24"/>
          <w:highlight w:val="none"/>
        </w:rPr>
        <w:t xml:space="preserve">，从业人员</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人，营业收入为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万元，资产总额为</w:t>
      </w:r>
      <w:r>
        <w:rPr>
          <w:rFonts w:hint="eastAsia" w:ascii="宋体" w:hAnsi="宋体" w:cs="宋体"/>
          <w:color w:val="auto"/>
          <w:sz w:val="24"/>
          <w:highlight w:val="none"/>
          <w:u w:val="single"/>
        </w:rPr>
        <w:t xml:space="preserve">    </w:t>
      </w:r>
      <w:r>
        <w:rPr>
          <w:rFonts w:hint="eastAsia" w:ascii="宋体" w:hAnsi="宋体" w:cs="宋体"/>
          <w:color w:val="auto"/>
          <w:sz w:val="24"/>
          <w:highlight w:val="none"/>
        </w:rPr>
        <w:t xml:space="preserve">万元，属于（</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中型企业、</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小型企业、</w:t>
      </w:r>
      <w:r>
        <w:rPr>
          <w:rFonts w:ascii="Wingdings 2" w:hAnsi="Wingdings 2" w:eastAsia="Wingdings 2" w:cs="Wingdings 2"/>
          <w:color w:val="auto"/>
          <w:sz w:val="24"/>
          <w:highlight w:val="none"/>
        </w:rPr>
        <w:t xml:space="preserve">£</w:t>
      </w:r>
      <w:r>
        <w:rPr>
          <w:rFonts w:hint="eastAsia" w:ascii="宋体" w:hAnsi="宋体" w:cs="宋体"/>
          <w:color w:val="auto"/>
          <w:sz w:val="24"/>
          <w:highlight w:val="none"/>
        </w:rPr>
        <w:t xml:space="preserve">微型企业）；</w:t>
      </w:r>
      <w:r/>
    </w:p>
    <w:p>
      <w:pPr>
        <w:ind w:firstLine="600"/>
        <w:jc w:val="left"/>
        <w:spacing w:line="480" w:lineRule="exact"/>
        <w:widowControl/>
        <w:rPr>
          <w:rFonts w:ascii="宋体" w:hAnsi="宋体" w:cs="宋体"/>
          <w:color w:val="auto"/>
          <w:spacing w:val="6"/>
          <w:sz w:val="24"/>
          <w:highlight w:val="none"/>
        </w:rPr>
      </w:pPr>
      <w:r>
        <w:rPr>
          <w:rFonts w:hint="eastAsia" w:ascii="宋体" w:hAnsi="宋体" w:cs="宋体"/>
          <w:color w:val="auto"/>
          <w:sz w:val="24"/>
          <w:highlight w:val="none"/>
        </w:rPr>
        <w:t xml:space="preserve">以上企业，不属于大企业的分支机构，不存在控股股东为大企业的情形，也不存在与大企业的负责人为同一人的情形。</w:t>
      </w:r>
      <w:r/>
    </w:p>
    <w:p>
      <w:pPr>
        <w:ind w:firstLine="600"/>
        <w:jc w:val="left"/>
        <w:spacing w:line="480" w:lineRule="exact"/>
        <w:widowControl/>
        <w:rPr>
          <w:rFonts w:ascii="宋体" w:hAnsi="宋体" w:cs="宋体"/>
          <w:color w:val="auto"/>
          <w:spacing w:val="6"/>
          <w:sz w:val="24"/>
          <w:highlight w:val="none"/>
        </w:rPr>
      </w:pPr>
      <w:r>
        <w:rPr>
          <w:rFonts w:hint="eastAsia" w:ascii="宋体" w:hAnsi="宋体" w:cs="宋体"/>
          <w:color w:val="auto"/>
          <w:sz w:val="24"/>
          <w:highlight w:val="none"/>
        </w:rPr>
        <w:t xml:space="preserve">本企业对上述声明内容的真实性负责。如有虚假，将依法承担相应责任。</w:t>
      </w:r>
      <w:r/>
    </w:p>
    <w:p>
      <w:pPr>
        <w:ind w:firstLine="600"/>
        <w:jc w:val="left"/>
        <w:spacing w:line="480" w:lineRule="exact"/>
        <w:widowControl/>
        <w:rPr>
          <w:rFonts w:ascii="宋体" w:hAnsi="宋体" w:cs="宋体"/>
          <w:color w:val="auto"/>
          <w:sz w:val="24"/>
          <w:highlight w:val="none"/>
        </w:rPr>
      </w:pPr>
      <w:r>
        <w:rPr>
          <w:rFonts w:ascii="宋体" w:hAnsi="宋体" w:cs="宋体"/>
          <w:color w:val="auto"/>
          <w:sz w:val="24"/>
          <w:highlight w:val="none"/>
        </w:rPr>
      </w:r>
      <w:r/>
    </w:p>
    <w:p>
      <w:pPr>
        <w:ind w:firstLine="600"/>
        <w:jc w:val="left"/>
        <w:spacing w:line="480" w:lineRule="exact"/>
        <w:widowControl/>
        <w:rPr>
          <w:rFonts w:ascii="宋体" w:hAnsi="宋体" w:cs="宋体"/>
          <w:color w:val="auto"/>
          <w:sz w:val="24"/>
          <w:highlight w:val="none"/>
        </w:rPr>
      </w:pPr>
      <w:r>
        <w:rPr>
          <w:rFonts w:hint="eastAsia" w:ascii="宋体" w:hAnsi="宋体" w:cs="宋体"/>
          <w:color w:val="auto"/>
          <w:sz w:val="24"/>
          <w:highlight w:val="none"/>
        </w:rPr>
        <w:t xml:space="preserve">                         企业名称（盖单位电子签章）：</w:t>
      </w:r>
      <w:r/>
    </w:p>
    <w:p>
      <w:pPr>
        <w:ind w:firstLine="600"/>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                         日期：</w:t>
      </w:r>
      <w:r/>
    </w:p>
    <w:p>
      <w:pPr>
        <w:jc w:val="left"/>
        <w:spacing w:line="460" w:lineRule="exact"/>
        <w:widowControl/>
        <w:rPr>
          <w:rFonts w:ascii="宋体" w:hAnsi="宋体" w:cs="宋体"/>
          <w:color w:val="auto"/>
          <w:sz w:val="24"/>
          <w:highlight w:val="none"/>
        </w:rPr>
      </w:pPr>
      <w:r>
        <w:rPr>
          <w:rFonts w:hint="eastAsia" w:ascii="宋体" w:hAnsi="宋体" w:cs="宋体"/>
          <w:color w:val="auto"/>
          <w:sz w:val="24"/>
          <w:highlight w:val="none"/>
        </w:rPr>
        <w:t xml:space="preserve">注：本项目采购的服务属于</w:t>
      </w:r>
      <w:r>
        <w:rPr>
          <w:rFonts w:hint="eastAsia" w:ascii="宋体" w:hAnsi="宋体" w:cs="宋体"/>
          <w:color w:val="auto"/>
          <w:sz w:val="24"/>
          <w:highlight w:val="none"/>
          <w:u w:val="single"/>
        </w:rPr>
        <w:t xml:space="preserve">其他未列明行业</w:t>
      </w:r>
      <w:r>
        <w:rPr>
          <w:rFonts w:hint="eastAsia" w:ascii="宋体" w:hAnsi="宋体" w:cs="宋体"/>
          <w:color w:val="auto"/>
          <w:sz w:val="24"/>
          <w:highlight w:val="none"/>
        </w:rPr>
        <w:t xml:space="preserve">。</w:t>
      </w:r>
      <w:r/>
    </w:p>
    <w:p>
      <w:pPr>
        <w:ind w:firstLine="425"/>
        <w:jc w:val="left"/>
        <w:rPr>
          <w:rFonts w:ascii="宋体" w:hAnsi="宋体" w:cs="宋体"/>
          <w:b/>
          <w:bCs/>
          <w:color w:val="auto"/>
          <w:sz w:val="24"/>
          <w:highlight w:val="none"/>
        </w:rPr>
      </w:pPr>
      <w:r>
        <w:rPr>
          <w:rFonts w:hint="eastAsia" w:ascii="宋体" w:hAnsi="宋体" w:cs="宋体"/>
          <w:b/>
          <w:bCs/>
          <w:color w:val="auto"/>
          <w:sz w:val="24"/>
          <w:highlight w:val="none"/>
        </w:rPr>
        <w:t xml:space="preserve">说明：</w:t>
      </w:r>
      <w:r/>
    </w:p>
    <w:p>
      <w:pPr>
        <w:ind w:firstLine="425"/>
        <w:rPr>
          <w:rFonts w:ascii="宋体" w:hAnsi="宋体" w:cs="宋体"/>
          <w:b/>
          <w:bCs/>
          <w:color w:val="auto"/>
          <w:sz w:val="24"/>
          <w:highlight w:val="none"/>
        </w:rPr>
      </w:pPr>
      <w:r>
        <w:rPr>
          <w:rFonts w:hint="eastAsia" w:ascii="宋体" w:hAnsi="宋体" w:cs="宋体"/>
          <w:b/>
          <w:bCs/>
          <w:color w:val="auto"/>
          <w:sz w:val="24"/>
          <w:highlight w:val="none"/>
        </w:rPr>
        <w:t xml:space="preserve">1、中小微企业的划分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25"/>
        <w:rPr>
          <w:rFonts w:ascii="宋体" w:hAnsi="宋体" w:cs="宋体"/>
          <w:b/>
          <w:bCs/>
          <w:color w:val="auto"/>
          <w:sz w:val="24"/>
          <w:highlight w:val="none"/>
        </w:rPr>
      </w:pPr>
      <w:r>
        <w:rPr>
          <w:rFonts w:hint="eastAsia" w:ascii="宋体" w:hAnsi="宋体" w:cs="宋体"/>
          <w:b/>
          <w:bCs/>
          <w:color w:val="auto"/>
          <w:sz w:val="24"/>
          <w:highlight w:val="none"/>
        </w:rPr>
        <w:t xml:space="preserve">2、从业人员、营业收入、资产总额填报供应商上一年度数据，无上一年度数据的新成立企业可不填报。</w:t>
      </w:r>
      <w:r/>
    </w:p>
    <w:p>
      <w:pPr>
        <w:ind w:firstLine="425"/>
        <w:rPr>
          <w:rFonts w:ascii="宋体" w:hAnsi="宋体" w:cs="宋体"/>
          <w:b/>
          <w:bCs/>
          <w:color w:val="auto"/>
          <w:sz w:val="24"/>
          <w:highlight w:val="none"/>
        </w:rPr>
      </w:pPr>
      <w:r>
        <w:rPr>
          <w:rFonts w:hint="eastAsia" w:ascii="宋体" w:hAnsi="宋体" w:cs="宋体"/>
          <w:b/>
          <w:bCs/>
          <w:color w:val="auto"/>
          <w:sz w:val="24"/>
          <w:highlight w:val="none"/>
        </w:rPr>
        <w:t xml:space="preserve">3、成交供应商为小型、微型企业的，采购人或者其委托的采购代理机构有权随中标、成交结果同时公告其《中小企业声明函》，接受社会监督。</w:t>
      </w:r>
      <w:r/>
    </w:p>
    <w:p>
      <w:pPr>
        <w:ind w:firstLine="425"/>
        <w:rPr>
          <w:rFonts w:ascii="宋体" w:hAnsi="宋体" w:cs="宋体"/>
          <w:b/>
          <w:bCs/>
          <w:color w:val="auto"/>
          <w:sz w:val="24"/>
          <w:highlight w:val="none"/>
        </w:rPr>
      </w:pPr>
      <w:r>
        <w:rPr>
          <w:rFonts w:hint="eastAsia" w:ascii="宋体" w:hAnsi="宋体" w:cs="宋体"/>
          <w:b/>
          <w:bCs/>
          <w:color w:val="auto"/>
          <w:sz w:val="24"/>
          <w:highlight w:val="none"/>
        </w:rPr>
        <w:t xml:space="preserve">4、执行江苏省财政厅关于进一步加大政府采购支持中小企业力度的通知（苏财购〔2022〕45号）的规定。</w:t>
      </w:r>
      <w:r/>
    </w:p>
    <w:p>
      <w:pPr>
        <w:ind w:firstLine="425"/>
        <w:rPr>
          <w:rFonts w:ascii="宋体" w:hAnsi="宋体" w:cs="宋体"/>
          <w:b/>
          <w:bCs/>
          <w:color w:val="auto"/>
          <w:sz w:val="24"/>
          <w:highlight w:val="none"/>
        </w:rPr>
      </w:pPr>
      <w:r>
        <w:rPr>
          <w:rFonts w:hint="eastAsia" w:ascii="宋体" w:hAnsi="宋体" w:cs="宋体"/>
          <w:b/>
          <w:bCs/>
          <w:color w:val="auto"/>
          <w:sz w:val="24"/>
          <w:highlight w:val="none"/>
        </w:rPr>
        <w:t xml:space="preserve">5、供应商提供的《中小企业声明函》与事实不符的，依照《政府采购法》第七十七条第一款的规定追究法律责任。</w:t>
      </w:r>
      <w:r/>
    </w:p>
    <w:p>
      <w:pPr>
        <w:ind w:firstLine="425"/>
        <w:rPr>
          <w:rFonts w:ascii="宋体" w:hAnsi="宋体" w:cs="宋体"/>
          <w:b/>
          <w:bCs/>
          <w:color w:val="auto"/>
          <w:sz w:val="30"/>
          <w:szCs w:val="30"/>
          <w:highlight w:val="none"/>
        </w:rPr>
      </w:pPr>
      <w:r>
        <w:rPr>
          <w:rFonts w:hint="eastAsia" w:ascii="宋体" w:hAnsi="宋体" w:cs="宋体"/>
          <w:b/>
          <w:bCs/>
          <w:color w:val="auto"/>
          <w:sz w:val="24"/>
          <w:highlight w:val="none"/>
        </w:rPr>
        <w:t xml:space="preserve">6、《中小企业声明函》查询渠道用微信搜索“中小企业规模类型自测小程序”。</w:t>
      </w:r>
      <w:r/>
    </w:p>
    <w:p>
      <w:pPr>
        <w:jc w:val="center"/>
        <w:rPr>
          <w:rFonts w:ascii="宋体" w:hAnsi="宋体" w:cs="宋体"/>
          <w:color w:val="auto"/>
          <w:sz w:val="28"/>
          <w:szCs w:val="28"/>
          <w:highlight w:val="none"/>
        </w:rPr>
        <w:sectPr>
          <w:headerReference w:type="default" r:id="rId12"/>
          <w:footerReference w:type="default" r:id="rId18"/>
          <w:footnotePr/>
          <w:endnotePr/>
          <w:type w:val="nextPage"/>
          <w:pgSz w:w="11906" w:h="16838" w:orient="portrait"/>
          <w:pgMar w:top="1134" w:right="1797" w:bottom="1134" w:left="1797" w:header="851" w:footer="992" w:gutter="0"/>
          <w:cols w:num="1" w:sep="0" w:space="1701" w:equalWidth="1"/>
          <w:docGrid w:linePitch="360"/>
          <w:titlePg/>
        </w:sectPr>
      </w:pPr>
      <w:r>
        <w:rPr>
          <w:rFonts w:hint="eastAsia" w:ascii="宋体" w:hAnsi="宋体" w:cs="宋体"/>
          <w:color w:val="auto"/>
          <w:sz w:val="24"/>
          <w:highlight w:val="none"/>
        </w:rPr>
        <w:t xml:space="preserve">        </w:t>
      </w:r>
      <w:r>
        <w:rPr>
          <w:rFonts w:hint="eastAsia" w:ascii="宋体" w:hAnsi="宋体" w:cs="宋体"/>
          <w:color w:val="auto"/>
          <w:sz w:val="24"/>
          <w:highlight w:val="none"/>
        </w:rPr>
        <mc:AlternateContent>
          <mc:Choice Requires="wpg">
            <w:drawing>
              <wp:inline xmlns:wp="http://schemas.openxmlformats.org/drawingml/2006/wordprocessingDrawing" distT="0" distB="0" distL="0" distR="0">
                <wp:extent cx="2788285" cy="4944110"/>
                <wp:effectExtent l="0" t="0" r="12065" b="8890"/>
                <wp:docPr id="11" name="图片 3"/>
                <wp:cNvGraphicFramePr/>
                <a:graphic xmlns:a="http://schemas.openxmlformats.org/drawingml/2006/main">
                  <a:graphicData uri="http://schemas.openxmlformats.org/drawingml/2006/picture">
                    <pic:pic xmlns:pic="http://schemas.openxmlformats.org/drawingml/2006/picture">
                      <pic:nvPicPr>
                        <pic:cNvPr id="16" name="图片 3"/>
                        <pic:cNvPicPr/>
                        <pic:nvPr/>
                      </pic:nvPicPr>
                      <pic:blipFill>
                        <a:blip r:embed="rId20"/>
                        <a:srcRect l="0" t="4498" r="0" b="0"/>
                        <a:stretch/>
                      </pic:blipFill>
                      <pic:spPr bwMode="auto">
                        <a:xfrm>
                          <a:off x="0" y="0"/>
                          <a:ext cx="2788285" cy="494411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219.5pt;height:389.3pt;mso-wrap-distance-left:0.0pt;mso-wrap-distance-top:0.0pt;mso-wrap-distance-right:0.0pt;mso-wrap-distance-bottom:0.0pt;" stroked="f">
                <v:path textboxrect="0,0,0,0"/>
                <v:imagedata r:id="rId20" o:title=""/>
              </v:shape>
            </w:pict>
          </mc:Fallback>
        </mc:AlternateContent>
      </w:r>
      <w:r/>
    </w:p>
    <w:p>
      <w:pPr>
        <w:jc w:val="center"/>
        <w:rPr>
          <w:rFonts w:ascii="宋体" w:hAnsi="宋体" w:cs="宋体"/>
          <w:b/>
          <w:color w:val="auto"/>
          <w:sz w:val="36"/>
          <w:szCs w:val="36"/>
          <w:highlight w:val="none"/>
        </w:rPr>
      </w:pPr>
      <w:r>
        <w:rPr>
          <w:rFonts w:hint="eastAsia" w:ascii="宋体" w:hAnsi="宋体" w:cs="宋体"/>
          <w:b/>
          <w:bCs/>
          <w:color w:val="auto"/>
          <w:sz w:val="36"/>
          <w:szCs w:val="36"/>
          <w:highlight w:val="none"/>
        </w:rPr>
        <w:t xml:space="preserve">10、</w:t>
      </w:r>
      <w:r>
        <w:rPr>
          <w:rFonts w:hint="eastAsia" w:ascii="宋体" w:hAnsi="宋体" w:cs="宋体"/>
          <w:b/>
          <w:color w:val="auto"/>
          <w:sz w:val="36"/>
          <w:szCs w:val="36"/>
          <w:highlight w:val="none"/>
        </w:rPr>
        <w:t xml:space="preserve">供应商参加政府采购活动前3年内在经营活动中没有重大违法记录的书面声明</w:t>
      </w:r>
      <w:r/>
    </w:p>
    <w:p>
      <w:pPr>
        <w:rPr>
          <w:rFonts w:ascii="宋体" w:hAnsi="宋体" w:cs="宋体"/>
          <w:color w:val="auto"/>
          <w:sz w:val="24"/>
          <w:highlight w:val="none"/>
        </w:rPr>
      </w:pPr>
      <w:r>
        <w:rPr>
          <w:rFonts w:ascii="宋体" w:hAnsi="宋体" w:cs="宋体"/>
          <w:color w:val="auto"/>
          <w:sz w:val="24"/>
          <w:highlight w:val="none"/>
        </w:rPr>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我单位在参加</w:t>
      </w:r>
      <w:r>
        <w:rPr>
          <w:rFonts w:hint="eastAsia" w:ascii="宋体" w:hAnsi="宋体" w:cs="宋体"/>
          <w:color w:val="auto"/>
          <w:sz w:val="28"/>
          <w:szCs w:val="28"/>
          <w:highlight w:val="none"/>
          <w:u w:val="single"/>
        </w:rPr>
        <w:t xml:space="preserve">徐州市自然资源和规划局徐州市综合交通体系规划（2025-2035年）</w:t>
      </w:r>
      <w:r>
        <w:rPr>
          <w:rFonts w:hint="eastAsia" w:ascii="宋体" w:hAnsi="宋体" w:cs="宋体"/>
          <w:color w:val="auto"/>
          <w:sz w:val="28"/>
          <w:szCs w:val="28"/>
          <w:highlight w:val="none"/>
        </w:rPr>
        <w:t xml:space="preserve">项目（项目编号：</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）政府采购活动前3年内在经营活动中没有重大违法记录。重大违法记录是指因违法经营受到刑事处罚或者责令停产停业、吊销许可证或者执照、较大数额罚款等行政处罚。</w:t>
      </w:r>
      <w:r/>
    </w:p>
    <w:p>
      <w:pPr>
        <w:ind w:firstLine="840"/>
        <w:jc w:val="left"/>
        <w:spacing w:before="100" w:beforeAutospacing="1" w:after="100" w:afterAutospacing="1"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我单位对上述声明的真实性负责。如有虚假，将依法承担相应责任。</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                          </w:t>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供应商（电子签章）：</w:t>
      </w:r>
      <w:r/>
    </w:p>
    <w:p>
      <w:pPr>
        <w:ind w:right="29"/>
        <w:spacing w:line="360" w:lineRule="auto"/>
        <w:rPr>
          <w:rFonts w:ascii="宋体" w:hAnsi="宋体" w:cs="宋体"/>
          <w:color w:val="auto"/>
          <w:sz w:val="28"/>
          <w:szCs w:val="28"/>
          <w:highlight w:val="none"/>
        </w:rPr>
      </w:pPr>
      <w:r>
        <w:rPr>
          <w:rFonts w:ascii="宋体" w:hAnsi="宋体" w:cs="宋体"/>
          <w:color w:val="auto"/>
          <w:sz w:val="28"/>
          <w:szCs w:val="28"/>
          <w:highlight w:val="none"/>
        </w:rPr>
      </w:r>
      <w:r/>
    </w:p>
    <w:p>
      <w:pPr>
        <w:ind w:right="29"/>
        <w:spacing w:line="360" w:lineRule="auto"/>
        <w:rPr>
          <w:rFonts w:ascii="宋体" w:hAnsi="宋体" w:cs="宋体"/>
          <w:color w:val="auto"/>
          <w:sz w:val="28"/>
          <w:szCs w:val="28"/>
          <w:highlight w:val="none"/>
        </w:rPr>
      </w:pPr>
      <w:r>
        <w:rPr>
          <w:rFonts w:hint="eastAsia" w:ascii="宋体" w:hAnsi="宋体" w:cs="宋体"/>
          <w:color w:val="auto"/>
          <w:sz w:val="28"/>
          <w:szCs w:val="28"/>
          <w:highlight w:val="none"/>
        </w:rPr>
        <w:t xml:space="preserve">日期： 年  月  日</w:t>
      </w:r>
      <w:r/>
    </w:p>
    <w:p>
      <w:pPr>
        <w:pStyle w:val="1064"/>
        <w:ind w:left="239" w:firstLine="2640"/>
        <w:rPr>
          <w:color w:val="auto"/>
          <w:highlight w:val="none"/>
        </w:rPr>
      </w:pPr>
      <w:r>
        <w:rPr>
          <w:color w:val="auto"/>
          <w:highlight w:val="none"/>
        </w:rPr>
      </w:r>
      <w:r/>
    </w:p>
    <w:p>
      <w:pPr>
        <w:pStyle w:val="1064"/>
        <w:ind w:left="239" w:firstLine="2640"/>
        <w:rPr>
          <w:color w:val="auto"/>
          <w:highlight w:val="none"/>
        </w:rPr>
      </w:pPr>
      <w:r>
        <w:rPr>
          <w:color w:val="auto"/>
          <w:highlight w:val="none"/>
        </w:rPr>
      </w:r>
      <w:r/>
    </w:p>
    <w:p>
      <w:pPr>
        <w:pStyle w:val="1064"/>
        <w:ind w:left="239" w:firstLine="2640"/>
        <w:rPr>
          <w:color w:val="auto"/>
          <w:highlight w:val="none"/>
        </w:rPr>
      </w:pPr>
      <w:r>
        <w:rPr>
          <w:color w:val="auto"/>
          <w:highlight w:val="none"/>
        </w:rPr>
      </w:r>
      <w:r/>
    </w:p>
    <w:p>
      <w:pPr>
        <w:pStyle w:val="1064"/>
        <w:ind w:left="239" w:firstLine="2640"/>
        <w:rPr>
          <w:color w:val="auto"/>
          <w:highlight w:val="none"/>
        </w:rPr>
      </w:pPr>
      <w:r>
        <w:rPr>
          <w:color w:val="auto"/>
          <w:highlight w:val="none"/>
        </w:rPr>
      </w:r>
      <w:r/>
    </w:p>
    <w:p>
      <w:pPr>
        <w:pStyle w:val="1064"/>
        <w:ind w:left="239" w:firstLine="2640"/>
        <w:rPr>
          <w:color w:val="auto"/>
          <w:highlight w:val="none"/>
        </w:rPr>
      </w:pPr>
      <w:r>
        <w:rPr>
          <w:color w:val="auto"/>
          <w:highlight w:val="none"/>
        </w:rPr>
      </w:r>
      <w:r/>
    </w:p>
    <w:p>
      <w:pPr>
        <w:pStyle w:val="1064"/>
        <w:ind w:left="239" w:firstLine="2640"/>
        <w:rPr>
          <w:color w:val="auto"/>
          <w:highlight w:val="none"/>
        </w:rPr>
      </w:pPr>
      <w:r>
        <w:rPr>
          <w:color w:val="auto"/>
          <w:highlight w:val="none"/>
        </w:rPr>
      </w:r>
      <w:r/>
    </w:p>
    <w:p>
      <w:pPr>
        <w:pStyle w:val="1064"/>
        <w:ind w:left="239" w:firstLine="2640"/>
        <w:rPr>
          <w:color w:val="auto"/>
          <w:highlight w:val="none"/>
        </w:rPr>
      </w:pPr>
      <w:r>
        <w:rPr>
          <w:color w:val="auto"/>
          <w:highlight w:val="none"/>
        </w:rPr>
      </w:r>
      <w:r/>
    </w:p>
    <w:p>
      <w:pPr>
        <w:pStyle w:val="1064"/>
        <w:ind w:left="239" w:firstLine="2640"/>
        <w:rPr>
          <w:color w:val="auto"/>
          <w:highlight w:val="none"/>
        </w:rPr>
      </w:pPr>
      <w:r>
        <w:rPr>
          <w:color w:val="auto"/>
          <w:highlight w:val="none"/>
        </w:rPr>
      </w:r>
      <w:r/>
    </w:p>
    <w:p>
      <w:pPr>
        <w:pStyle w:val="1064"/>
        <w:ind w:left="239" w:firstLine="2640"/>
        <w:rPr>
          <w:color w:val="auto"/>
          <w:highlight w:val="none"/>
        </w:rPr>
      </w:pPr>
      <w:r>
        <w:rPr>
          <w:color w:val="auto"/>
          <w:highlight w:val="none"/>
        </w:rPr>
      </w:r>
      <w:r/>
    </w:p>
    <w:p>
      <w:pPr>
        <w:jc w:val="center"/>
        <w:spacing w:line="588" w:lineRule="exact"/>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2"/>
          <w:szCs w:val="32"/>
          <w:highlight w:val="none"/>
        </w:rPr>
      </w:pPr>
      <w:r>
        <w:rPr>
          <w:sz w:val="20"/>
          <w:szCs w:val="22"/>
        </w:rPr>
      </w:r>
      <w:bookmarkStart w:id="34" w:name="OLE_LINK14"/>
      <w:r>
        <w:rPr>
          <w:sz w:val="20"/>
          <w:szCs w:val="22"/>
        </w:rPr>
      </w:r>
      <w:bookmarkStart w:id="35" w:name="OLE_LINK13"/>
      <w:r>
        <w:rPr>
          <w:rFonts w:hint="eastAsia" w:ascii="宋体" w:hAnsi="宋体" w:cs="宋体"/>
          <w:b/>
          <w:color w:val="auto"/>
          <w:sz w:val="32"/>
          <w:szCs w:val="32"/>
          <w:highlight w:val="none"/>
        </w:rPr>
        <w:t xml:space="preserve">11、具备履行合同所必需的设备和专业技术能力的书面声明（附证明材料扫描件）</w:t>
      </w:r>
      <w:r>
        <w:rPr>
          <w:sz w:val="20"/>
          <w:szCs w:val="22"/>
        </w:rPr>
      </w:r>
      <w:r/>
    </w:p>
    <w:p>
      <w:pPr>
        <w:rPr>
          <w:rFonts w:ascii="宋体" w:hAnsi="宋体" w:cs="宋体"/>
          <w:color w:val="auto"/>
          <w:sz w:val="22"/>
          <w:szCs w:val="22"/>
          <w:highlight w:val="none"/>
        </w:rPr>
      </w:pPr>
      <w:r>
        <w:rPr>
          <w:rFonts w:ascii="宋体" w:hAnsi="宋体" w:cs="宋体"/>
          <w:color w:val="auto"/>
          <w:sz w:val="22"/>
          <w:szCs w:val="22"/>
          <w:highlight w:val="none"/>
        </w:rPr>
      </w:r>
      <w:r>
        <w:rPr>
          <w:sz w:val="20"/>
          <w:szCs w:val="22"/>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u w:val="single"/>
        </w:rPr>
        <w:t xml:space="preserve">                  </w:t>
      </w:r>
      <w:r>
        <w:rPr>
          <w:sz w:val="20"/>
          <w:szCs w:val="22"/>
        </w:rPr>
      </w:r>
      <w:r/>
    </w:p>
    <w:p>
      <w:pPr>
        <w:spacing w:line="360" w:lineRule="auto"/>
        <w:rPr>
          <w:rFonts w:ascii="宋体" w:hAnsi="宋体" w:cs="宋体"/>
          <w:color w:val="auto"/>
          <w:sz w:val="24"/>
          <w:szCs w:val="24"/>
          <w:highlight w:val="none"/>
          <w:u w:val="single"/>
        </w:rPr>
      </w:pP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sz w:val="20"/>
          <w:szCs w:val="22"/>
        </w:rPr>
      </w:r>
      <w:r/>
    </w:p>
    <w:p>
      <w:pPr>
        <w:ind w:firstLine="480"/>
        <w:jc w:val="left"/>
        <w:spacing w:line="360" w:lineRule="auto"/>
        <w:widowControl/>
        <w:rPr>
          <w:rFonts w:ascii="宋体" w:hAnsi="宋体" w:cs="宋体"/>
          <w:color w:val="auto"/>
          <w:sz w:val="24"/>
          <w:szCs w:val="24"/>
          <w:highlight w:val="none"/>
        </w:rPr>
      </w:pPr>
      <w:r>
        <w:rPr>
          <w:rFonts w:ascii="宋体" w:hAnsi="宋体" w:cs="宋体"/>
          <w:color w:val="auto"/>
          <w:sz w:val="24"/>
          <w:szCs w:val="24"/>
          <w:highlight w:val="none"/>
        </w:rPr>
      </w:r>
      <w:r>
        <w:rPr>
          <w:sz w:val="20"/>
          <w:szCs w:val="22"/>
        </w:rPr>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供应商郑重声明：供应商具备履行合同（项目名称：</w:t>
      </w:r>
      <w:r>
        <w:rPr>
          <w:rFonts w:hint="eastAsia" w:ascii="宋体" w:hAnsi="宋体" w:cs="宋体"/>
          <w:color w:val="auto"/>
          <w:sz w:val="24"/>
          <w:szCs w:val="24"/>
          <w:highlight w:val="none"/>
          <w:u w:val="single"/>
        </w:rPr>
        <w:t xml:space="preserve">徐州市自然资源和规划局徐州市综合交通体系规划（2025-2035年）</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）所必需的设备和专业技术能力，具体为：</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设备：</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（证明材料原件的扫描件附后）</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（证明材料原件的扫描件附后）</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（证明材料原件的扫描件附后）</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专业技术能力：</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（证明材料原件的扫描件附后）</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（证明材料原件的扫描件附后）</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 （证明材料原件的扫描件附后）</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特此声明。</w:t>
      </w:r>
      <w:r>
        <w:rPr>
          <w:sz w:val="20"/>
          <w:szCs w:val="22"/>
        </w:rPr>
      </w:r>
      <w:r/>
    </w:p>
    <w:p>
      <w:pPr>
        <w:ind w:firstLine="48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供应商对上述声明的真实性负责。如有虚假，将依法承担相应责任。</w:t>
      </w:r>
      <w:r>
        <w:rPr>
          <w:sz w:val="20"/>
          <w:szCs w:val="22"/>
        </w:rPr>
      </w:r>
      <w:r/>
    </w:p>
    <w:p>
      <w:pPr>
        <w:spacing w:line="360" w:lineRule="auto"/>
        <w:rPr>
          <w:rFonts w:ascii="宋体" w:hAnsi="宋体" w:cs="宋体"/>
          <w:color w:val="auto"/>
          <w:sz w:val="24"/>
          <w:szCs w:val="24"/>
          <w:highlight w:val="none"/>
        </w:rPr>
      </w:pPr>
      <w:r>
        <w:rPr>
          <w:rFonts w:ascii="宋体" w:hAnsi="宋体" w:cs="宋体"/>
          <w:color w:val="auto"/>
          <w:sz w:val="24"/>
          <w:szCs w:val="24"/>
          <w:highlight w:val="none"/>
        </w:rPr>
      </w:r>
      <w:r>
        <w:rPr>
          <w:sz w:val="20"/>
          <w:szCs w:val="22"/>
        </w:rPr>
      </w:r>
      <w:r/>
    </w:p>
    <w:p>
      <w:pPr>
        <w:ind w:firstLine="31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供应商：</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（电子签章） </w:t>
      </w:r>
      <w:r>
        <w:rPr>
          <w:sz w:val="20"/>
          <w:szCs w:val="22"/>
        </w:rPr>
      </w:r>
      <w:r/>
    </w:p>
    <w:p>
      <w:pPr>
        <w:ind w:firstLine="312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rPr>
          <w:sz w:val="20"/>
          <w:szCs w:val="22"/>
        </w:rPr>
      </w:r>
      <w:r/>
    </w:p>
    <w:p>
      <w:pPr>
        <w:jc w:val="center"/>
        <w:spacing w:line="588" w:lineRule="exact"/>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12、残疾人福利性单位声明函</w:t>
      </w:r>
      <w:bookmarkEnd w:id="34"/>
      <w:r/>
      <w:bookmarkEnd w:id="35"/>
      <w:r/>
      <w:r/>
    </w:p>
    <w:p>
      <w:pPr>
        <w:jc w:val="center"/>
        <w:spacing w:line="0" w:lineRule="atLeast"/>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0" w:lineRule="atLeast"/>
        <w:rPr>
          <w:rFonts w:ascii="宋体" w:hAnsi="宋体" w:cs="宋体"/>
          <w:color w:val="auto"/>
          <w:sz w:val="28"/>
          <w:szCs w:val="28"/>
          <w:highlight w:val="none"/>
        </w:rPr>
      </w:pPr>
      <w:r>
        <w:rPr>
          <w:rFonts w:hint="eastAsia" w:ascii="宋体" w:hAnsi="宋体" w:cs="宋体"/>
          <w:b/>
          <w:bCs/>
          <w:color w:val="auto"/>
          <w:sz w:val="28"/>
          <w:szCs w:val="28"/>
          <w:highlight w:val="none"/>
        </w:rPr>
        <w:t xml:space="preserve">（注：如供应商不属于残疾人福利性单位，不需提供此声明函）</w:t>
      </w:r>
      <w:r/>
    </w:p>
    <w:p>
      <w:pPr>
        <w:spacing w:line="360" w:lineRule="auto"/>
        <w:rPr>
          <w:rFonts w:ascii="宋体" w:hAnsi="宋体" w:cs="宋体"/>
          <w:color w:val="auto"/>
          <w:sz w:val="24"/>
          <w:highlight w:val="none"/>
        </w:rPr>
      </w:pPr>
      <w:r>
        <w:rPr>
          <w:rFonts w:ascii="宋体" w:hAnsi="宋体" w:cs="宋体"/>
          <w:color w:val="auto"/>
          <w:sz w:val="24"/>
          <w:highlight w:val="none"/>
        </w:rPr>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项目名称： </w:t>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项目编号：</w:t>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本单位郑重声明，根据《财政部 民政部 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本单位对上述声明的真实性负责。如有虚假，将依法承担相应责任。</w:t>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 </w:t>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 </w:t>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投标人：（电子签章）</w:t>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 </w:t>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日期：   年   月   日</w:t>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1"/>
          <w:highlight w:val="none"/>
        </w:rPr>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1"/>
          <w:highlight w:val="none"/>
        </w:rPr>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1"/>
          <w:highlight w:val="none"/>
        </w:rPr>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ascii="宋体" w:hAnsi="宋体" w:cs="宋体"/>
          <w:color w:val="auto"/>
          <w:sz w:val="28"/>
          <w:szCs w:val="21"/>
          <w:highlight w:val="none"/>
        </w:rPr>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说明：</w:t>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中标、成交供应商为残疾人福利性单位的，采购人或者其委托的采购代理机构应当随中标、成交结果同时公告其《残疾人福利性单位声明函》，接受社会监督。</w:t>
      </w:r>
      <w:r/>
    </w:p>
    <w:p>
      <w:pPr>
        <w:ind w:firstLine="480"/>
        <w:spacing w:line="312" w:lineRule="atLeast"/>
        <w:widowControl/>
        <w:rPr>
          <w:rFonts w:ascii="宋体" w:hAnsi="宋体" w:cs="宋体"/>
          <w:color w:val="auto"/>
          <w:sz w:val="28"/>
          <w:szCs w:val="21"/>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1"/>
          <w:highlight w:val="none"/>
        </w:rPr>
        <w:t xml:space="preserve">供应商提供的《残疾人福利性单位声明函》与事实不符的，依照《政府采购法》第七十七条第一款的规定追究法律责任。</w:t>
      </w:r>
      <w:r/>
    </w:p>
    <w:p>
      <w:pPr>
        <w:jc w:val="left"/>
        <w:widowControl/>
        <w:rPr>
          <w:rFonts w:ascii="宋体" w:hAnsi="宋体" w:cs="宋体"/>
          <w:color w:val="auto"/>
          <w:sz w:val="28"/>
          <w:szCs w:val="28"/>
          <w:highlight w:val="none"/>
        </w:rPr>
      </w:pPr>
      <w:r>
        <w:rPr>
          <w:rFonts w:ascii="宋体" w:hAnsi="宋体" w:cs="宋体"/>
          <w:color w:val="auto"/>
          <w:sz w:val="28"/>
          <w:szCs w:val="28"/>
          <w:highlight w:val="none"/>
        </w:rPr>
      </w:r>
      <w:r/>
    </w:p>
    <w:p>
      <w:pPr>
        <w:jc w:val="center"/>
        <w:spacing w:line="360" w:lineRule="auto"/>
        <w:widowControl/>
        <w:rPr>
          <w:rFonts w:ascii="宋体" w:hAnsi="宋体" w:cs="宋体"/>
          <w:b/>
          <w:color w:val="auto"/>
          <w:sz w:val="36"/>
          <w:szCs w:val="36"/>
          <w:highlight w:val="none"/>
        </w:rPr>
        <w:sectPr>
          <w:footnotePr/>
          <w:endnotePr/>
          <w:type w:val="nextPage"/>
          <w:pgSz w:w="11906" w:h="16838" w:orient="portrait"/>
          <w:pgMar w:top="1134" w:right="1797" w:bottom="1134" w:left="1797" w:header="851" w:footer="992" w:gutter="0"/>
          <w:cols w:num="1" w:sep="0" w:space="1701" w:equalWidth="1"/>
          <w:docGrid w:linePitch="360"/>
          <w:titlePg/>
        </w:sectPr>
      </w:pPr>
      <w:r>
        <w:rPr>
          <w:rFonts w:ascii="宋体" w:hAnsi="宋体" w:cs="宋体"/>
          <w:b/>
          <w:color w:val="auto"/>
          <w:sz w:val="36"/>
          <w:szCs w:val="36"/>
          <w:highlight w:val="none"/>
        </w:rPr>
      </w:r>
      <w:r/>
    </w:p>
    <w:p>
      <w:pPr>
        <w:jc w:val="center"/>
        <w:spacing w:line="588" w:lineRule="exact"/>
        <w:rPr>
          <w:rFonts w:ascii="宋体" w:hAnsi="宋体" w:cs="宋体"/>
          <w:b/>
          <w:color w:val="auto"/>
          <w:sz w:val="36"/>
          <w:szCs w:val="36"/>
          <w:highlight w:val="none"/>
        </w:rPr>
      </w:pPr>
      <w:r>
        <w:rPr>
          <w:rFonts w:hint="eastAsia" w:ascii="宋体" w:hAnsi="宋体" w:cs="宋体"/>
          <w:b/>
          <w:color w:val="auto"/>
          <w:sz w:val="36"/>
          <w:szCs w:val="36"/>
          <w:highlight w:val="none"/>
        </w:rPr>
        <w:t xml:space="preserve">13、代理服务收费标准</w:t>
      </w:r>
      <w:r/>
    </w:p>
    <w:tbl>
      <w:tblPr>
        <w:tblStyle w:val="900"/>
        <w:tblW w:w="9794"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6475"/>
        <w:gridCol w:w="3319"/>
      </w:tblGrid>
      <w:tr>
        <w:trPr>
          <w:jc w:val="center"/>
          <w:trHeight w:val="503"/>
        </w:trPr>
        <w:tc>
          <w:tcPr>
            <w:tcMar>
              <w:left w:w="108" w:type="dxa"/>
              <w:top w:w="0" w:type="dxa"/>
              <w:right w:w="108" w:type="dxa"/>
              <w:bottom w:w="0" w:type="dxa"/>
            </w:tcMar>
            <w:tcW w:w="6475" w:type="dxa"/>
            <w:vAlign w:val="center"/>
            <w:textDirection w:val="lrTb"/>
            <w:noWrap w:val="false"/>
          </w:tcPr>
          <w:p>
            <w:pPr>
              <w:jc w:val="cente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中标或成交金额</w:t>
            </w:r>
            <w:r/>
          </w:p>
        </w:tc>
        <w:tc>
          <w:tcPr>
            <w:tcMar>
              <w:left w:w="108" w:type="dxa"/>
              <w:top w:w="0" w:type="dxa"/>
              <w:right w:w="108" w:type="dxa"/>
              <w:bottom w:w="0" w:type="dxa"/>
            </w:tcMar>
            <w:tcW w:w="3319" w:type="dxa"/>
            <w:vAlign w:val="center"/>
            <w:textDirection w:val="lrTb"/>
            <w:noWrap w:val="false"/>
          </w:tcPr>
          <w:p>
            <w:pPr>
              <w:jc w:val="cente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费率</w:t>
            </w:r>
            <w:r/>
          </w:p>
        </w:tc>
      </w:tr>
      <w:tr>
        <w:trPr>
          <w:jc w:val="center"/>
          <w:trHeight w:val="522"/>
        </w:trPr>
        <w:tc>
          <w:tcPr>
            <w:tcMar>
              <w:left w:w="108" w:type="dxa"/>
              <w:top w:w="0" w:type="dxa"/>
              <w:right w:w="108" w:type="dxa"/>
              <w:bottom w:w="0" w:type="dxa"/>
            </w:tcMar>
            <w:tcW w:w="6475" w:type="dxa"/>
            <w:vAlign w:val="center"/>
            <w:textDirection w:val="lrTb"/>
            <w:noWrap w:val="false"/>
          </w:tcPr>
          <w:p>
            <w:pP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最低收费金额(每个委托项目)</w:t>
            </w:r>
            <w:r/>
          </w:p>
        </w:tc>
        <w:tc>
          <w:tcPr>
            <w:tcMar>
              <w:left w:w="108" w:type="dxa"/>
              <w:top w:w="0" w:type="dxa"/>
              <w:right w:w="108" w:type="dxa"/>
              <w:bottom w:w="0" w:type="dxa"/>
            </w:tcMar>
            <w:tcW w:w="3319" w:type="dxa"/>
            <w:vAlign w:val="center"/>
            <w:textDirection w:val="lrTb"/>
            <w:noWrap w:val="false"/>
          </w:tcPr>
          <w:p>
            <w:pPr>
              <w:jc w:val="cente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5000元</w:t>
            </w:r>
            <w:r/>
          </w:p>
        </w:tc>
      </w:tr>
      <w:tr>
        <w:trPr>
          <w:jc w:val="center"/>
          <w:trHeight w:val="467"/>
        </w:trPr>
        <w:tc>
          <w:tcPr>
            <w:tcMar>
              <w:left w:w="108" w:type="dxa"/>
              <w:top w:w="0" w:type="dxa"/>
              <w:right w:w="108" w:type="dxa"/>
              <w:bottom w:w="0" w:type="dxa"/>
            </w:tcMar>
            <w:tcW w:w="6475" w:type="dxa"/>
            <w:vAlign w:val="center"/>
            <w:textDirection w:val="lrTb"/>
            <w:noWrap w:val="false"/>
          </w:tcPr>
          <w:p>
            <w:pP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50万元以下（含50万元）</w:t>
            </w:r>
            <w:r/>
          </w:p>
        </w:tc>
        <w:tc>
          <w:tcPr>
            <w:tcMar>
              <w:left w:w="108" w:type="dxa"/>
              <w:top w:w="0" w:type="dxa"/>
              <w:right w:w="108" w:type="dxa"/>
              <w:bottom w:w="0" w:type="dxa"/>
            </w:tcMar>
            <w:tcW w:w="3319" w:type="dxa"/>
            <w:vAlign w:val="center"/>
            <w:textDirection w:val="lrTb"/>
            <w:noWrap w:val="false"/>
          </w:tcPr>
          <w:p>
            <w:pPr>
              <w:jc w:val="cente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1.60%</w:t>
            </w:r>
            <w:r/>
          </w:p>
        </w:tc>
      </w:tr>
      <w:tr>
        <w:trPr>
          <w:jc w:val="center"/>
          <w:trHeight w:val="446"/>
        </w:trPr>
        <w:tc>
          <w:tcPr>
            <w:tcMar>
              <w:left w:w="108" w:type="dxa"/>
              <w:top w:w="0" w:type="dxa"/>
              <w:right w:w="108" w:type="dxa"/>
              <w:bottom w:w="0" w:type="dxa"/>
            </w:tcMar>
            <w:tcW w:w="6475" w:type="dxa"/>
            <w:vAlign w:val="center"/>
            <w:textDirection w:val="lrTb"/>
            <w:noWrap w:val="false"/>
          </w:tcPr>
          <w:p>
            <w:pP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50-400万元（含400万元）</w:t>
            </w:r>
            <w:r/>
          </w:p>
        </w:tc>
        <w:tc>
          <w:tcPr>
            <w:tcMar>
              <w:left w:w="108" w:type="dxa"/>
              <w:top w:w="0" w:type="dxa"/>
              <w:right w:w="108" w:type="dxa"/>
              <w:bottom w:w="0" w:type="dxa"/>
            </w:tcMar>
            <w:tcW w:w="3319" w:type="dxa"/>
            <w:vAlign w:val="center"/>
            <w:textDirection w:val="lrTb"/>
            <w:noWrap w:val="false"/>
          </w:tcPr>
          <w:p>
            <w:pPr>
              <w:jc w:val="cente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1.50%</w:t>
            </w:r>
            <w:r/>
          </w:p>
        </w:tc>
      </w:tr>
      <w:tr>
        <w:trPr>
          <w:jc w:val="center"/>
          <w:trHeight w:val="639"/>
        </w:trPr>
        <w:tc>
          <w:tcPr>
            <w:tcMar>
              <w:left w:w="108" w:type="dxa"/>
              <w:top w:w="0" w:type="dxa"/>
              <w:right w:w="108" w:type="dxa"/>
              <w:bottom w:w="0" w:type="dxa"/>
            </w:tcMar>
            <w:tcW w:w="6475" w:type="dxa"/>
            <w:vAlign w:val="center"/>
            <w:textDirection w:val="lrTb"/>
            <w:noWrap w:val="false"/>
          </w:tcPr>
          <w:p>
            <w:pP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400-1000万元（含1000万元）</w:t>
            </w:r>
            <w:r/>
          </w:p>
        </w:tc>
        <w:tc>
          <w:tcPr>
            <w:tcMar>
              <w:left w:w="108" w:type="dxa"/>
              <w:top w:w="0" w:type="dxa"/>
              <w:right w:w="108" w:type="dxa"/>
              <w:bottom w:w="0" w:type="dxa"/>
            </w:tcMar>
            <w:tcW w:w="3319" w:type="dxa"/>
            <w:vAlign w:val="center"/>
            <w:textDirection w:val="lrTb"/>
            <w:noWrap w:val="false"/>
          </w:tcPr>
          <w:p>
            <w:pPr>
              <w:jc w:val="cente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1.10%</w:t>
            </w:r>
            <w:r/>
          </w:p>
        </w:tc>
      </w:tr>
      <w:tr>
        <w:trPr>
          <w:jc w:val="center"/>
          <w:trHeight w:val="513"/>
        </w:trPr>
        <w:tc>
          <w:tcPr>
            <w:tcMar>
              <w:left w:w="108" w:type="dxa"/>
              <w:top w:w="0" w:type="dxa"/>
              <w:right w:w="108" w:type="dxa"/>
              <w:bottom w:w="0" w:type="dxa"/>
            </w:tcMar>
            <w:tcW w:w="6475" w:type="dxa"/>
            <w:vAlign w:val="center"/>
            <w:textDirection w:val="lrTb"/>
            <w:noWrap w:val="false"/>
          </w:tcPr>
          <w:p>
            <w:pP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1000-5000万元（含5000万元）</w:t>
            </w:r>
            <w:r/>
          </w:p>
        </w:tc>
        <w:tc>
          <w:tcPr>
            <w:tcMar>
              <w:left w:w="108" w:type="dxa"/>
              <w:top w:w="0" w:type="dxa"/>
              <w:right w:w="108" w:type="dxa"/>
              <w:bottom w:w="0" w:type="dxa"/>
            </w:tcMar>
            <w:tcW w:w="3319" w:type="dxa"/>
            <w:vAlign w:val="center"/>
            <w:textDirection w:val="lrTb"/>
            <w:noWrap w:val="false"/>
          </w:tcPr>
          <w:p>
            <w:pPr>
              <w:jc w:val="cente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0.80%</w:t>
            </w:r>
            <w:r/>
          </w:p>
        </w:tc>
      </w:tr>
      <w:tr>
        <w:trPr>
          <w:jc w:val="center"/>
          <w:trHeight w:val="519"/>
        </w:trPr>
        <w:tc>
          <w:tcPr>
            <w:tcMar>
              <w:left w:w="108" w:type="dxa"/>
              <w:top w:w="0" w:type="dxa"/>
              <w:right w:w="108" w:type="dxa"/>
              <w:bottom w:w="0" w:type="dxa"/>
            </w:tcMar>
            <w:tcW w:w="6475" w:type="dxa"/>
            <w:vAlign w:val="center"/>
            <w:textDirection w:val="lrTb"/>
            <w:noWrap w:val="false"/>
          </w:tcPr>
          <w:p>
            <w:pP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5000-1亿元（含1亿元）</w:t>
            </w:r>
            <w:r/>
          </w:p>
        </w:tc>
        <w:tc>
          <w:tcPr>
            <w:tcMar>
              <w:left w:w="108" w:type="dxa"/>
              <w:top w:w="0" w:type="dxa"/>
              <w:right w:w="108" w:type="dxa"/>
              <w:bottom w:w="0" w:type="dxa"/>
            </w:tcMar>
            <w:tcW w:w="3319" w:type="dxa"/>
            <w:vAlign w:val="center"/>
            <w:textDirection w:val="lrTb"/>
            <w:noWrap w:val="false"/>
          </w:tcPr>
          <w:p>
            <w:pPr>
              <w:jc w:val="cente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0.25%</w:t>
            </w:r>
            <w:r/>
          </w:p>
        </w:tc>
      </w:tr>
      <w:tr>
        <w:trPr>
          <w:jc w:val="center"/>
          <w:trHeight w:val="513"/>
        </w:trPr>
        <w:tc>
          <w:tcPr>
            <w:tcMar>
              <w:left w:w="108" w:type="dxa"/>
              <w:top w:w="0" w:type="dxa"/>
              <w:right w:w="108" w:type="dxa"/>
              <w:bottom w:w="0" w:type="dxa"/>
            </w:tcMar>
            <w:tcW w:w="6475" w:type="dxa"/>
            <w:vAlign w:val="center"/>
            <w:textDirection w:val="lrTb"/>
            <w:noWrap w:val="false"/>
          </w:tcPr>
          <w:p>
            <w:pP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1-10亿（含10亿元）</w:t>
            </w:r>
            <w:r/>
          </w:p>
        </w:tc>
        <w:tc>
          <w:tcPr>
            <w:tcMar>
              <w:left w:w="108" w:type="dxa"/>
              <w:top w:w="0" w:type="dxa"/>
              <w:right w:w="108" w:type="dxa"/>
              <w:bottom w:w="0" w:type="dxa"/>
            </w:tcMar>
            <w:tcW w:w="3319" w:type="dxa"/>
            <w:vAlign w:val="center"/>
            <w:textDirection w:val="lrTb"/>
            <w:noWrap w:val="false"/>
          </w:tcPr>
          <w:p>
            <w:pPr>
              <w:jc w:val="cente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0.05%</w:t>
            </w:r>
            <w:r/>
          </w:p>
        </w:tc>
      </w:tr>
      <w:tr>
        <w:trPr>
          <w:jc w:val="center"/>
          <w:trHeight w:val="513"/>
        </w:trPr>
        <w:tc>
          <w:tcPr>
            <w:tcMar>
              <w:left w:w="108" w:type="dxa"/>
              <w:top w:w="0" w:type="dxa"/>
              <w:right w:w="108" w:type="dxa"/>
              <w:bottom w:w="0" w:type="dxa"/>
            </w:tcMar>
            <w:tcW w:w="6475" w:type="dxa"/>
            <w:vAlign w:val="center"/>
            <w:textDirection w:val="lrTb"/>
            <w:noWrap w:val="false"/>
          </w:tcPr>
          <w:p>
            <w:pP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10-50亿元（含50亿元）</w:t>
            </w:r>
            <w:r/>
          </w:p>
        </w:tc>
        <w:tc>
          <w:tcPr>
            <w:tcMar>
              <w:left w:w="108" w:type="dxa"/>
              <w:top w:w="0" w:type="dxa"/>
              <w:right w:w="108" w:type="dxa"/>
              <w:bottom w:w="0" w:type="dxa"/>
            </w:tcMar>
            <w:tcW w:w="3319" w:type="dxa"/>
            <w:vAlign w:val="center"/>
            <w:textDirection w:val="lrTb"/>
            <w:noWrap w:val="false"/>
          </w:tcPr>
          <w:p>
            <w:pPr>
              <w:jc w:val="cente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0.01%</w:t>
            </w:r>
            <w:r/>
          </w:p>
        </w:tc>
      </w:tr>
      <w:tr>
        <w:trPr>
          <w:jc w:val="center"/>
          <w:trHeight w:val="543"/>
        </w:trPr>
        <w:tc>
          <w:tcPr>
            <w:tcMar>
              <w:left w:w="108" w:type="dxa"/>
              <w:top w:w="0" w:type="dxa"/>
              <w:right w:w="108" w:type="dxa"/>
              <w:bottom w:w="0" w:type="dxa"/>
            </w:tcMar>
            <w:tcW w:w="6475" w:type="dxa"/>
            <w:vAlign w:val="center"/>
            <w:textDirection w:val="lrTb"/>
            <w:noWrap w:val="false"/>
          </w:tcPr>
          <w:p>
            <w:pP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50亿元</w:t>
            </w:r>
            <w:r/>
          </w:p>
        </w:tc>
        <w:tc>
          <w:tcPr>
            <w:tcMar>
              <w:left w:w="108" w:type="dxa"/>
              <w:top w:w="0" w:type="dxa"/>
              <w:right w:w="108" w:type="dxa"/>
              <w:bottom w:w="0" w:type="dxa"/>
            </w:tcMar>
            <w:tcW w:w="3319" w:type="dxa"/>
            <w:vAlign w:val="center"/>
            <w:textDirection w:val="lrTb"/>
            <w:noWrap w:val="false"/>
          </w:tcPr>
          <w:p>
            <w:pPr>
              <w:jc w:val="center"/>
              <w:spacing w:line="400" w:lineRule="atLeast"/>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0.005%</w:t>
            </w:r>
            <w:r/>
          </w:p>
        </w:tc>
      </w:tr>
    </w:tbl>
    <w:p>
      <w:pPr>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说明：</w:t>
      </w:r>
      <w:r/>
    </w:p>
    <w:p>
      <w:pPr>
        <w:ind w:firstLine="480"/>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1.按上表计算的收费为代理服务全过程的收费金额。各社会代理机构不另外收取采购文件制作售卖费用。</w:t>
      </w:r>
      <w:r/>
    </w:p>
    <w:p>
      <w:pPr>
        <w:ind w:firstLine="480"/>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2.代理服务费按差额定率累进法计算。</w:t>
      </w:r>
      <w:r/>
    </w:p>
    <w:p>
      <w:pPr>
        <w:ind w:firstLine="480"/>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3.代理服务费基准金额（按差额定率累进法计算的）=中标金额（按差额定率累进法计算的）*费率（%）。</w:t>
      </w:r>
      <w:r/>
    </w:p>
    <w:p>
      <w:pPr>
        <w:ind w:firstLine="480"/>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4.代理服务费应收取金额=代理服务费基准金额（按差额定率累进法计算的）的合计数。</w:t>
      </w:r>
      <w:r/>
    </w:p>
    <w:p>
      <w:pPr>
        <w:ind w:firstLine="480"/>
        <w:spacing w:line="360" w:lineRule="auto"/>
        <w:widowControl/>
        <w:rPr>
          <w:rFonts w:ascii="宋体" w:hAnsi="宋体" w:cs="宋体"/>
          <w:color w:val="auto"/>
          <w:sz w:val="28"/>
          <w:szCs w:val="28"/>
          <w:highlight w:val="none"/>
        </w:rPr>
      </w:pPr>
      <w:r>
        <w:rPr>
          <w:rFonts w:hint="eastAsia" w:ascii="宋体" w:hAnsi="宋体" w:cs="宋体"/>
          <w:color w:val="auto"/>
          <w:sz w:val="28"/>
          <w:szCs w:val="28"/>
          <w:highlight w:val="none"/>
        </w:rPr>
        <w:t xml:space="preserve">5.定点类等无金额或事先不能计算出价格总额的项目，按中标（成交）金额100万元计算服务费。</w:t>
      </w:r>
      <w:r/>
    </w:p>
    <w:p>
      <w:pPr>
        <w:ind w:firstLine="560"/>
        <w:widowControl/>
        <w:rPr>
          <w:rFonts w:ascii="宋体" w:hAnsi="宋体" w:cs="宋体"/>
          <w:color w:val="auto"/>
          <w:sz w:val="24"/>
          <w:szCs w:val="20"/>
          <w:highlight w:val="none"/>
        </w:rPr>
      </w:pPr>
      <w:r>
        <w:rPr>
          <w:rFonts w:hint="eastAsia" w:ascii="宋体" w:hAnsi="宋体" w:cs="宋体"/>
          <w:color w:val="auto"/>
          <w:sz w:val="28"/>
          <w:szCs w:val="28"/>
          <w:highlight w:val="none"/>
        </w:rPr>
        <w:t xml:space="preserve">6.有分包（分标段）的按一个项目计算。</w:t>
      </w:r>
      <w:r/>
    </w:p>
    <w:p>
      <w:pPr>
        <w:jc w:val="center"/>
        <w:widowControl/>
        <w:rPr>
          <w:rFonts w:ascii="宋体" w:hAnsi="宋体" w:cs="宋体"/>
          <w:color w:val="auto"/>
          <w:sz w:val="24"/>
          <w:szCs w:val="20"/>
          <w:highlight w:val="none"/>
        </w:rPr>
      </w:pPr>
      <w:r>
        <w:rPr>
          <w:rFonts w:ascii="宋体" w:hAnsi="宋体" w:cs="宋体"/>
          <w:color w:val="auto"/>
          <w:sz w:val="24"/>
          <w:szCs w:val="20"/>
          <w:highlight w:val="none"/>
        </w:rPr>
      </w:r>
      <w:r/>
    </w:p>
    <w:p>
      <w:pPr>
        <w:jc w:val="center"/>
        <w:widowControl/>
        <w:rPr>
          <w:rFonts w:ascii="宋体" w:hAnsi="宋体" w:cs="宋体"/>
          <w:color w:val="auto"/>
          <w:sz w:val="24"/>
          <w:szCs w:val="20"/>
          <w:highlight w:val="none"/>
        </w:rPr>
      </w:pPr>
      <w:r>
        <w:rPr>
          <w:rFonts w:ascii="宋体" w:hAnsi="宋体" w:cs="宋体"/>
          <w:color w:val="auto"/>
          <w:sz w:val="24"/>
          <w:szCs w:val="20"/>
          <w:highlight w:val="none"/>
        </w:rPr>
      </w:r>
      <w:r/>
    </w:p>
    <w:p>
      <w:pPr>
        <w:jc w:val="center"/>
        <w:widowControl/>
        <w:rPr>
          <w:rFonts w:ascii="宋体" w:hAnsi="宋体" w:cs="宋体"/>
          <w:color w:val="auto"/>
          <w:sz w:val="24"/>
          <w:szCs w:val="20"/>
          <w:highlight w:val="none"/>
        </w:rPr>
      </w:pPr>
      <w:r>
        <w:rPr>
          <w:rFonts w:ascii="宋体" w:hAnsi="宋体" w:cs="宋体"/>
          <w:color w:val="auto"/>
          <w:sz w:val="24"/>
          <w:szCs w:val="20"/>
          <w:highlight w:val="none"/>
        </w:rPr>
      </w:r>
      <w:r/>
    </w:p>
    <w:p>
      <w:pPr>
        <w:jc w:val="center"/>
        <w:widowControl/>
        <w:rPr>
          <w:rFonts w:ascii="宋体" w:hAnsi="宋体" w:cs="宋体"/>
          <w:color w:val="auto"/>
          <w:sz w:val="24"/>
          <w:szCs w:val="20"/>
          <w:highlight w:val="none"/>
        </w:rPr>
      </w:pPr>
      <w:r>
        <w:rPr>
          <w:rFonts w:ascii="宋体" w:hAnsi="宋体" w:cs="宋体"/>
          <w:color w:val="auto"/>
          <w:sz w:val="24"/>
          <w:szCs w:val="20"/>
          <w:highlight w:val="none"/>
        </w:rPr>
      </w:r>
      <w:r/>
    </w:p>
    <w:p>
      <w:pPr>
        <w:jc w:val="center"/>
        <w:widowControl/>
        <w:rPr>
          <w:rFonts w:ascii="宋体" w:hAnsi="宋体" w:cs="宋体"/>
          <w:color w:val="auto"/>
          <w:sz w:val="24"/>
          <w:szCs w:val="20"/>
          <w:highlight w:val="none"/>
        </w:rPr>
      </w:pPr>
      <w:r>
        <w:rPr>
          <w:rFonts w:ascii="宋体" w:hAnsi="宋体" w:cs="宋体"/>
          <w:color w:val="auto"/>
          <w:sz w:val="24"/>
          <w:szCs w:val="20"/>
          <w:highlight w:val="none"/>
        </w:rPr>
      </w:r>
      <w:r/>
    </w:p>
    <w:p>
      <w:pPr>
        <w:jc w:val="center"/>
        <w:widowControl/>
        <w:rPr>
          <w:rFonts w:ascii="宋体" w:hAnsi="宋体" w:cs="宋体"/>
          <w:color w:val="auto"/>
          <w:sz w:val="24"/>
          <w:szCs w:val="20"/>
          <w:highlight w:val="none"/>
        </w:rPr>
      </w:pPr>
      <w:r>
        <w:rPr>
          <w:rFonts w:ascii="宋体" w:hAnsi="宋体" w:cs="宋体"/>
          <w:color w:val="auto"/>
          <w:sz w:val="24"/>
          <w:szCs w:val="20"/>
          <w:highlight w:val="none"/>
        </w:rPr>
      </w:r>
      <w:r/>
    </w:p>
    <w:p>
      <w:pPr>
        <w:jc w:val="center"/>
        <w:widowControl/>
        <w:rPr>
          <w:rFonts w:ascii="宋体" w:hAnsi="宋体" w:cs="宋体"/>
          <w:color w:val="auto"/>
          <w:sz w:val="24"/>
          <w:szCs w:val="20"/>
          <w:highlight w:val="none"/>
        </w:rPr>
      </w:pPr>
      <w:r>
        <w:rPr>
          <w:rFonts w:ascii="宋体" w:hAnsi="宋体" w:cs="宋体"/>
          <w:color w:val="auto"/>
          <w:sz w:val="24"/>
          <w:szCs w:val="20"/>
          <w:highlight w:val="none"/>
        </w:rPr>
      </w:r>
      <w:r/>
    </w:p>
    <w:p>
      <w:pPr>
        <w:jc w:val="center"/>
        <w:widowControl/>
        <w:rPr>
          <w:rFonts w:ascii="宋体" w:hAnsi="宋体" w:cs="宋体"/>
          <w:color w:val="auto"/>
          <w:sz w:val="24"/>
          <w:szCs w:val="20"/>
          <w:highlight w:val="none"/>
        </w:rPr>
      </w:pPr>
      <w:r>
        <w:rPr>
          <w:rFonts w:ascii="宋体" w:hAnsi="宋体" w:cs="宋体"/>
          <w:color w:val="auto"/>
          <w:sz w:val="24"/>
          <w:szCs w:val="20"/>
          <w:highlight w:val="none"/>
        </w:rPr>
      </w:r>
      <w:r/>
    </w:p>
    <w:p>
      <w:pPr>
        <w:jc w:val="center"/>
        <w:widowControl/>
        <w:rPr>
          <w:rFonts w:ascii="宋体" w:hAnsi="宋体" w:cs="宋体"/>
          <w:color w:val="auto"/>
          <w:sz w:val="24"/>
          <w:szCs w:val="20"/>
          <w:highlight w:val="none"/>
        </w:rPr>
      </w:pPr>
      <w:r>
        <w:rPr>
          <w:rFonts w:ascii="宋体" w:hAnsi="宋体" w:cs="宋体"/>
          <w:color w:val="auto"/>
          <w:sz w:val="24"/>
          <w:szCs w:val="20"/>
          <w:highlight w:val="none"/>
        </w:rPr>
      </w:r>
      <w:r/>
    </w:p>
    <w:p>
      <w:pPr>
        <w:jc w:val="center"/>
        <w:widowControl/>
        <w:rPr>
          <w:rFonts w:ascii="宋体" w:hAnsi="宋体" w:cs="宋体"/>
          <w:b/>
          <w:color w:val="auto"/>
          <w:sz w:val="36"/>
          <w:szCs w:val="36"/>
          <w:highlight w:val="none"/>
        </w:rPr>
      </w:pPr>
      <w:r>
        <w:rPr>
          <w:rFonts w:hint="eastAsia" w:ascii="宋体" w:hAnsi="宋体" w:cs="宋体"/>
          <w:b/>
          <w:color w:val="auto"/>
          <w:sz w:val="36"/>
          <w:szCs w:val="36"/>
          <w:highlight w:val="none"/>
        </w:rPr>
        <w:t xml:space="preserve">14、预付款保函支付条款模板</w:t>
      </w:r>
      <w:r/>
    </w:p>
    <w:p>
      <w:pPr>
        <w:ind w:firstLine="565"/>
        <w:spacing w:line="480" w:lineRule="exact"/>
        <w:rPr>
          <w:rFonts w:ascii="宋体" w:hAnsi="宋体" w:cs="宋体"/>
          <w:b/>
          <w:color w:val="auto"/>
          <w:sz w:val="28"/>
          <w:szCs w:val="28"/>
          <w:highlight w:val="none"/>
        </w:rPr>
      </w:pPr>
      <w:r>
        <w:rPr>
          <w:rFonts w:ascii="宋体" w:hAnsi="宋体" w:cs="宋体"/>
          <w:b/>
          <w:color w:val="auto"/>
          <w:sz w:val="28"/>
          <w:szCs w:val="28"/>
          <w:highlight w:val="none"/>
        </w:rPr>
      </w:r>
      <w:r/>
    </w:p>
    <w:p>
      <w:pPr>
        <w:ind w:firstLine="482"/>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符合条件一：提交预付款保函的</w:t>
      </w:r>
      <w:r/>
    </w:p>
    <w:p>
      <w:pPr>
        <w:ind w:firstLine="480"/>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（1）合同签订且乙方向甲方出具预付款保函后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        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0"/>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乙方需提交的支付文件：乙方出具的全额正式发票。</w:t>
      </w:r>
      <w:r/>
    </w:p>
    <w:p>
      <w:pPr>
        <w:ind w:firstLine="480"/>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2"/>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 </w:t>
      </w:r>
      <w:r/>
    </w:p>
    <w:p>
      <w:pPr>
        <w:ind w:firstLine="482"/>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b/>
          <w:color w:val="auto"/>
          <w:sz w:val="28"/>
          <w:szCs w:val="28"/>
          <w:highlight w:val="none"/>
        </w:rPr>
        <w:t xml:space="preserve">符合条件二：不提交预付款保函的</w:t>
      </w:r>
      <w:r/>
    </w:p>
    <w:p>
      <w:pPr>
        <w:ind w:firstLine="480"/>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（1）合同签订后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0"/>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乙方需提交的支付文件：乙方出具的全额正式发票。</w:t>
      </w:r>
      <w:r/>
    </w:p>
    <w:p>
      <w:pPr>
        <w:ind w:firstLine="480"/>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（2）验收合格后</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个工作日内，甲方应支付合同价款的百分之</w:t>
      </w:r>
      <w:r>
        <w:rPr>
          <w:rFonts w:hint="eastAsia" w:ascii="宋体" w:hAnsi="宋体" w:cs="宋体"/>
          <w:color w:val="auto"/>
          <w:sz w:val="28"/>
          <w:szCs w:val="28"/>
          <w:highlight w:val="none"/>
          <w:u w:val="single"/>
        </w:rPr>
        <w:t xml:space="preserve">XX（    XX%）</w:t>
      </w:r>
      <w:r>
        <w:rPr>
          <w:rFonts w:hint="eastAsia" w:ascii="宋体" w:hAnsi="宋体" w:cs="宋体"/>
          <w:color w:val="auto"/>
          <w:sz w:val="28"/>
          <w:szCs w:val="28"/>
          <w:highlight w:val="none"/>
        </w:rPr>
        <w:t xml:space="preserve">，小写￥</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大写：人民币</w:t>
      </w:r>
      <w:r>
        <w:rPr>
          <w:rFonts w:hint="eastAsia" w:ascii="宋体" w:hAnsi="宋体" w:cs="宋体"/>
          <w:color w:val="auto"/>
          <w:sz w:val="28"/>
          <w:szCs w:val="28"/>
          <w:highlight w:val="none"/>
          <w:u w:val="single"/>
        </w:rPr>
        <w:t xml:space="preserve">          </w:t>
      </w:r>
      <w:r>
        <w:rPr>
          <w:rFonts w:hint="eastAsia" w:ascii="宋体" w:hAnsi="宋体" w:cs="宋体"/>
          <w:color w:val="auto"/>
          <w:sz w:val="28"/>
          <w:szCs w:val="28"/>
          <w:highlight w:val="none"/>
        </w:rPr>
        <w:t xml:space="preserve">。</w:t>
      </w:r>
      <w:r/>
    </w:p>
    <w:p>
      <w:pPr>
        <w:ind w:firstLine="480"/>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 </w:t>
      </w:r>
      <w:r/>
    </w:p>
    <w:p>
      <w:pPr>
        <w:ind w:firstLine="480"/>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注:</w:t>
      </w:r>
      <w:r/>
    </w:p>
    <w:p>
      <w:pPr>
        <w:ind w:firstLine="480"/>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1、付款条件一中，出具预付款保函后支付的合同款应当与保函金额一致。</w:t>
      </w:r>
      <w:r/>
    </w:p>
    <w:p>
      <w:pPr>
        <w:ind w:firstLine="480"/>
        <w:spacing w:line="312" w:lineRule="atLeast"/>
        <w:widowControl/>
        <w:rPr>
          <w:rFonts w:ascii="宋体" w:hAnsi="宋体" w:cs="宋体"/>
          <w:color w:val="auto"/>
          <w:sz w:val="28"/>
          <w:szCs w:val="28"/>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8"/>
          <w:szCs w:val="28"/>
          <w:highlight w:val="none"/>
        </w:rPr>
        <w:t xml:space="preserve">2、付款条件二中，预付款比例设定应符合《关于做好政府采购支持企业发展有关事项的通知》(苏财购〔2020〕52号)要求。</w:t>
      </w:r>
      <w:r/>
    </w:p>
    <w:p>
      <w:pPr>
        <w:pStyle w:val="987"/>
        <w:rPr>
          <w:rFonts w:ascii="宋体" w:hAnsi="宋体" w:cs="宋体"/>
          <w:color w:val="auto"/>
          <w:sz w:val="28"/>
          <w:szCs w:val="28"/>
          <w:highlight w:val="none"/>
        </w:rPr>
      </w:pPr>
      <w:r>
        <w:rPr>
          <w:rFonts w:ascii="宋体" w:hAnsi="宋体" w:cs="宋体"/>
          <w:color w:val="auto"/>
          <w:sz w:val="28"/>
          <w:szCs w:val="28"/>
          <w:highlight w:val="none"/>
        </w:rPr>
      </w:r>
      <w:r/>
    </w:p>
    <w:p>
      <w:pPr>
        <w:ind w:firstLine="480"/>
        <w:widowControl/>
        <w:rPr>
          <w:rFonts w:ascii="宋体" w:hAnsi="宋体" w:cs="宋体"/>
          <w:color w:val="auto"/>
          <w:sz w:val="24"/>
          <w:highlight w:val="none"/>
        </w:rPr>
      </w:pPr>
      <w:r>
        <w:rPr>
          <w:rFonts w:ascii="宋体" w:hAnsi="宋体" w:cs="宋体"/>
          <w:color w:val="auto"/>
          <w:sz w:val="24"/>
          <w:highlight w:val="none"/>
        </w:rPr>
      </w:r>
      <w:r/>
    </w:p>
    <w:sectPr>
      <w:footnotePr/>
      <w:endnotePr/>
      <w:type w:val="nextPage"/>
      <w:pgSz w:w="11906" w:h="16838" w:orient="portrait"/>
      <w:pgMar w:top="1134" w:right="1797" w:bottom="1134" w:left="1797"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仿宋">
    <w:panose1 w:val="02010609060101010101"/>
  </w:font>
  <w:font w:name="Tahoma">
    <w:panose1 w:val="020B0604030504040204"/>
  </w:font>
  <w:font w:name="Cambria">
    <w:panose1 w:val="02040503050406030204"/>
  </w:font>
  <w:font w:name="Courier New">
    <w:panose1 w:val="02070309020205020404"/>
  </w:font>
  <w:font w:name="Calibri">
    <w:panose1 w:val="020F0502020204030204"/>
  </w:font>
  <w:font w:name="黑体">
    <w:panose1 w:val="02010609060101010101"/>
  </w:font>
  <w:font w:name="仿宋_GB2312">
    <w:panose1 w:val="02010609060101010101"/>
  </w:font>
  <w:font w:name="Arial">
    <w:panose1 w:val="020B0604020202020204"/>
  </w:font>
  <w:font w:name="宋体">
    <w:panose1 w:val="02010600030101010101"/>
  </w:font>
  <w:font w:name="Wingdings 2">
    <w:panose1 w:val="05020102010507070707"/>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rPr>
        <w:rStyle w:val="1066"/>
      </w:rPr>
      <w:framePr w:wrap="around" w:vAnchor="text" w:hAnchor="margin" w:xAlign="center" w:y="1"/>
    </w:pPr>
    <w:r>
      <w:fldChar w:fldCharType="begin"/>
    </w:r>
    <w:r>
      <w:rPr>
        <w:rStyle w:val="1066"/>
      </w:rPr>
      <w:instrText xml:space="preserve">PAGE  </w:instrText>
    </w:r>
    <w:r>
      <w:fldChar w:fldCharType="end"/>
    </w:r>
    <w:r/>
  </w:p>
  <w:p>
    <w:pPr>
      <w:pStyle w:val="1104"/>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7143" w:leader="none"/>
                        <w:tab w:val="clear" w:pos="14287" w:leader="none"/>
                      </w:tabs>
                    </w:pPr>
                    <w:r>
                      <w:fldChar w:fldCharType="begin"/>
                    </w:r>
                    <w:r>
                      <w:instrText xml:space="preserve"> PAGE  \* MERGEFORMAT </w:instrText>
                    </w:r>
                    <w:r>
                      <w:fldChar w:fldCharType="separate"/>
                    </w:r>
                    <w:r>
                      <w:t xml:space="preserve">15</w:t>
                    </w:r>
                    <w:r>
                      <w:fldChar w:fldCharType="end"/>
                    </w:r>
                    <w:r/>
                  </w:p>
                  <w:p>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7143" w:leader="none"/>
                        <w:tab w:val="clear" w:pos="14287" w:leader="none"/>
                      </w:tabs>
                    </w:pPr>
                    <w:r>
                      <w:fldChar w:fldCharType="begin"/>
                    </w:r>
                    <w:r>
                      <w:instrText xml:space="preserve"> PAGE  \* MERGEFORMAT </w:instrText>
                    </w:r>
                    <w:r>
                      <w:fldChar w:fldCharType="separate"/>
                    </w:r>
                    <w:r>
                      <w:t xml:space="preserve">18</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jc w:val="center"/>
      <w:rPr>
        <w:rFonts w:eastAsia="仿宋_GB2312"/>
        <w:sz w:val="24"/>
      </w:rPr>
    </w:pPr>
    <w:r>
      <w:rPr>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46"/>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46"/>
                      <w:tabs>
                        <w:tab w:val="clear" w:pos="7143" w:leader="none"/>
                        <w:tab w:val="clear" w:pos="14287" w:leader="none"/>
                      </w:tabs>
                    </w:pPr>
                    <w:r>
                      <w:fldChar w:fldCharType="begin"/>
                    </w:r>
                    <w:r>
                      <w:instrText xml:space="preserve"> PAGE  \* MERGEFORMAT </w:instrText>
                    </w:r>
                    <w:r>
                      <w:fldChar w:fldCharType="separate"/>
                    </w:r>
                    <w:r>
                      <w:t xml:space="preserve">20</w:t>
                    </w:r>
                    <w:r>
                      <w:fldChar w:fldCharType="end"/>
                    </w:r>
                    <w:r/>
                  </w:p>
                  <w:p>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0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29235" cy="147955"/>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229235" cy="147955"/>
                      </a:xfrm>
                      <a:prstGeom prst="rect">
                        <a:avLst/>
                      </a:prstGeom>
                      <a:noFill/>
                      <a:ln>
                        <a:noFill/>
                      </a:ln>
                    </wps:spPr>
                    <wps:txbx>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34</w:t>
                          </w:r>
                          <w:r>
                            <w:rPr>
                              <w:rFonts w:hint="eastAsia"/>
                              <w:sz w:val="18"/>
                            </w:rPr>
                            <w:fldChar w:fldCharType="end"/>
                          </w:r>
                          <w:r/>
                        </w:p>
                        <w:p>
                          <w:r/>
                          <w:r/>
                        </w:p>
                        <w:p>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8.1pt;height:11.6pt;mso-wrap-distance-left:9.0pt;mso-wrap-distance-top:0.0pt;mso-wrap-distance-right:9.0pt;mso-wrap-distance-bottom:0.0pt;visibility:visible;" filled="f" stroked="f">
              <v:textbox inset="0,0,0,0">
                <w:txbxContent>
                  <w:p>
                    <w:pPr>
                      <w:rPr>
                        <w:sz w:val="18"/>
                      </w:rPr>
                    </w:pPr>
                    <w:r>
                      <w:rPr>
                        <w:rFonts w:hint="eastAsia"/>
                        <w:sz w:val="18"/>
                      </w:rPr>
                      <w:fldChar w:fldCharType="begin"/>
                    </w:r>
                    <w:r>
                      <w:rPr>
                        <w:rFonts w:hint="eastAsia"/>
                        <w:sz w:val="18"/>
                      </w:rPr>
                      <w:instrText xml:space="preserve"> PAGE  \* MERGEFORMAT </w:instrText>
                    </w:r>
                    <w:r>
                      <w:rPr>
                        <w:rFonts w:hint="eastAsia"/>
                        <w:sz w:val="18"/>
                      </w:rPr>
                      <w:fldChar w:fldCharType="separate"/>
                    </w:r>
                    <w:r>
                      <w:rPr>
                        <w:sz w:val="18"/>
                      </w:rPr>
                      <w:t xml:space="preserve">34</w:t>
                    </w:r>
                    <w:r>
                      <w:rPr>
                        <w:rFonts w:hint="eastAsia"/>
                        <w:sz w:val="18"/>
                      </w:rPr>
                      <w:fldChar w:fldCharType="end"/>
                    </w:r>
                    <w:r/>
                  </w:p>
                  <w:p>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6"/>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95280" cy="306679"/>
              <wp:effectExtent l="6350" t="6350" r="6350" b="6350"/>
              <wp:wrapNone/>
              <wp:docPr id="5" name="文本框 7"/>
              <wp:cNvGraphicFramePr/>
              <a:graphic xmlns:a="http://schemas.openxmlformats.org/drawingml/2006/main">
                <a:graphicData uri="http://schemas.microsoft.com/office/word/2010/wordprocessingShape">
                  <wps:wsp>
                    <wps:cNvPr id="0" name=""/>
                    <wps:cNvSpPr txBox="1"/>
                    <wps:spPr bwMode="auto">
                      <a:xfrm flipH="0" flipV="0">
                        <a:off x="0" y="0"/>
                        <a:ext cx="195279" cy="306678"/>
                      </a:xfrm>
                      <a:prstGeom prst="rect">
                        <a:avLst/>
                      </a:prstGeom>
                      <a:noFill/>
                      <a:ln>
                        <a:noFill/>
                      </a:ln>
                    </wps:spPr>
                    <wps:txbx>
                      <w:txbxContent>
                        <w:p>
                          <w:pPr>
                            <w:pStyle w:val="1046"/>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wps:txbx>
                    <wps:bodyPr wrap="square" lIns="0" tIns="0" rIns="0" bIns="0" upright="1">
                      <a:no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5.4pt;height:24.1pt;mso-wrap-distance-left:9.0pt;mso-wrap-distance-top:0.0pt;mso-wrap-distance-right:9.0pt;mso-wrap-distance-bottom:0.0pt;visibility:visible;" filled="f" stroked="f">
              <v:textbox inset="0,0,0,0">
                <w:txbxContent>
                  <w:p>
                    <w:pPr>
                      <w:pStyle w:val="1046"/>
                      <w:tabs>
                        <w:tab w:val="clear" w:pos="7143" w:leader="none"/>
                        <w:tab w:val="clear" w:pos="14287" w:leader="none"/>
                      </w:tabs>
                    </w:pPr>
                    <w:r>
                      <w:fldChar w:fldCharType="begin"/>
                    </w:r>
                    <w:r>
                      <w:instrText xml:space="preserve"> PAGE  \* MERGEFORMAT </w:instrText>
                    </w:r>
                    <w:r>
                      <w:fldChar w:fldCharType="separate"/>
                    </w:r>
                    <w:r>
                      <w:t xml:space="preserve">35</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jc w:val="left"/>
      <w:rPr>
        <w:rFonts w:ascii="仿宋" w:hAnsi="仿宋"/>
      </w:rPr>
      <w:pBdr>
        <w:bottom w:val="none" w:color="000000" w:sz="0" w:space="0"/>
      </w:pBdr>
    </w:pPr>
    <w:r>
      <w:rPr>
        <w:rFonts w:ascii="仿宋" w:hAnsi="仿宋"/>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ind w:left="5866" w:hanging="5866"/>
      <w:jc w:val="left"/>
      <w:pBdr>
        <w:bottom w:val="none" w:color="000000" w:sz="0" w:space="1"/>
      </w:pBdr>
    </w:pPr>
    <w:r>
      <w:rPr>
        <w:rFonts w:hint="eastAsia"/>
      </w:rPr>
      <w:tab/>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91"/>
      <w:pBdr>
        <w:bottom w:val="none" w:color="000000" w:sz="0" w:space="0"/>
      </w:pBdr>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8"/>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78"/>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88">
    <w:name w:val="TOC Heading"/>
    <w:uiPriority w:val="39"/>
    <w:unhideWhenUsed/>
  </w:style>
  <w:style w:type="paragraph" w:styleId="889" w:default="1">
    <w:name w:val="Normal"/>
    <w:next w:val="901"/>
    <w:uiPriority w:val="0"/>
    <w:qFormat/>
    <w:pPr>
      <w:jc w:val="both"/>
      <w:widowControl w:val="off"/>
    </w:pPr>
    <w:rPr>
      <w:rFonts w:ascii="Times New Roman" w:hAnsi="Times New Roman" w:eastAsia="宋体" w:cs="Times New Roman"/>
      <w:sz w:val="21"/>
      <w:szCs w:val="24"/>
      <w:lang w:val="en-US" w:eastAsia="zh-CN" w:bidi="ar-SA"/>
    </w:rPr>
  </w:style>
  <w:style w:type="paragraph" w:styleId="890">
    <w:name w:val="Heading 1"/>
    <w:basedOn w:val="889"/>
    <w:next w:val="889"/>
    <w:link w:val="990"/>
    <w:uiPriority w:val="9"/>
    <w:qFormat/>
    <w:pPr>
      <w:keepLines/>
      <w:keepNext/>
      <w:spacing w:before="480" w:after="200"/>
      <w:outlineLvl w:val="0"/>
    </w:pPr>
    <w:rPr>
      <w:rFonts w:ascii="Arial" w:hAnsi="Arial" w:eastAsia="Arial" w:cs="Arial"/>
      <w:sz w:val="40"/>
      <w:szCs w:val="40"/>
    </w:rPr>
  </w:style>
  <w:style w:type="paragraph" w:styleId="891">
    <w:name w:val="Heading 2"/>
    <w:basedOn w:val="889"/>
    <w:next w:val="889"/>
    <w:link w:val="991"/>
    <w:uiPriority w:val="9"/>
    <w:unhideWhenUsed/>
    <w:qFormat/>
    <w:pPr>
      <w:keepLines/>
      <w:keepNext/>
      <w:spacing w:before="360" w:after="200"/>
      <w:outlineLvl w:val="1"/>
    </w:pPr>
    <w:rPr>
      <w:rFonts w:ascii="Arial" w:hAnsi="Arial" w:eastAsia="Arial" w:cs="Arial"/>
      <w:sz w:val="34"/>
    </w:rPr>
  </w:style>
  <w:style w:type="paragraph" w:styleId="892">
    <w:name w:val="Heading 3"/>
    <w:basedOn w:val="889"/>
    <w:next w:val="889"/>
    <w:link w:val="935"/>
    <w:uiPriority w:val="9"/>
    <w:unhideWhenUsed/>
    <w:qFormat/>
    <w:pPr>
      <w:keepLines/>
      <w:keepNext/>
      <w:spacing w:before="320" w:after="200"/>
      <w:outlineLvl w:val="2"/>
    </w:pPr>
    <w:rPr>
      <w:rFonts w:ascii="Arial" w:hAnsi="Arial" w:eastAsia="Arial" w:cs="Arial"/>
      <w:sz w:val="30"/>
      <w:szCs w:val="30"/>
    </w:rPr>
  </w:style>
  <w:style w:type="paragraph" w:styleId="893">
    <w:name w:val="Heading 4"/>
    <w:basedOn w:val="889"/>
    <w:next w:val="889"/>
    <w:link w:val="992"/>
    <w:uiPriority w:val="9"/>
    <w:unhideWhenUsed/>
    <w:qFormat/>
    <w:pPr>
      <w:keepLines/>
      <w:keepNext/>
      <w:spacing w:before="320" w:after="200"/>
      <w:outlineLvl w:val="3"/>
    </w:pPr>
    <w:rPr>
      <w:rFonts w:ascii="Arial" w:hAnsi="Arial" w:eastAsia="Arial" w:cs="Arial"/>
      <w:b/>
      <w:bCs/>
      <w:sz w:val="26"/>
      <w:szCs w:val="26"/>
    </w:rPr>
  </w:style>
  <w:style w:type="paragraph" w:styleId="894">
    <w:name w:val="Heading 5"/>
    <w:basedOn w:val="889"/>
    <w:next w:val="889"/>
    <w:link w:val="993"/>
    <w:uiPriority w:val="9"/>
    <w:unhideWhenUsed/>
    <w:qFormat/>
    <w:pPr>
      <w:keepLines/>
      <w:keepNext/>
      <w:spacing w:before="320" w:after="200"/>
      <w:outlineLvl w:val="4"/>
    </w:pPr>
    <w:rPr>
      <w:rFonts w:ascii="Arial" w:hAnsi="Arial" w:eastAsia="Arial" w:cs="Arial"/>
      <w:b/>
      <w:bCs/>
      <w:sz w:val="24"/>
    </w:rPr>
  </w:style>
  <w:style w:type="paragraph" w:styleId="895">
    <w:name w:val="Heading 6"/>
    <w:basedOn w:val="889"/>
    <w:next w:val="889"/>
    <w:link w:val="994"/>
    <w:uiPriority w:val="9"/>
    <w:unhideWhenUsed/>
    <w:qFormat/>
    <w:pPr>
      <w:keepLines/>
      <w:keepNext/>
      <w:spacing w:before="320" w:after="200"/>
      <w:outlineLvl w:val="5"/>
    </w:pPr>
    <w:rPr>
      <w:rFonts w:ascii="Arial" w:hAnsi="Arial" w:eastAsia="Arial" w:cs="Arial"/>
      <w:b/>
      <w:bCs/>
      <w:sz w:val="22"/>
      <w:szCs w:val="22"/>
    </w:rPr>
  </w:style>
  <w:style w:type="paragraph" w:styleId="896">
    <w:name w:val="Heading 7"/>
    <w:basedOn w:val="889"/>
    <w:next w:val="889"/>
    <w:link w:val="995"/>
    <w:uiPriority w:val="9"/>
    <w:unhideWhenUsed/>
    <w:qFormat/>
    <w:pPr>
      <w:keepLines/>
      <w:keepNext/>
      <w:spacing w:before="320" w:after="200"/>
      <w:outlineLvl w:val="6"/>
    </w:pPr>
    <w:rPr>
      <w:rFonts w:ascii="Arial" w:hAnsi="Arial" w:eastAsia="Arial" w:cs="Arial"/>
      <w:b/>
      <w:bCs/>
      <w:i/>
      <w:iCs/>
      <w:sz w:val="22"/>
      <w:szCs w:val="22"/>
    </w:rPr>
  </w:style>
  <w:style w:type="paragraph" w:styleId="897">
    <w:name w:val="Heading 8"/>
    <w:basedOn w:val="889"/>
    <w:next w:val="889"/>
    <w:link w:val="996"/>
    <w:uiPriority w:val="9"/>
    <w:unhideWhenUsed/>
    <w:qFormat/>
    <w:pPr>
      <w:keepLines/>
      <w:keepNext/>
      <w:spacing w:before="320" w:after="200"/>
      <w:outlineLvl w:val="7"/>
    </w:pPr>
    <w:rPr>
      <w:rFonts w:ascii="Arial" w:hAnsi="Arial" w:eastAsia="Arial" w:cs="Arial"/>
      <w:i/>
      <w:iCs/>
      <w:sz w:val="22"/>
      <w:szCs w:val="22"/>
    </w:rPr>
  </w:style>
  <w:style w:type="paragraph" w:styleId="898">
    <w:name w:val="Heading 9"/>
    <w:basedOn w:val="889"/>
    <w:next w:val="889"/>
    <w:link w:val="997"/>
    <w:uiPriority w:val="9"/>
    <w:unhideWhenUsed/>
    <w:qFormat/>
    <w:pPr>
      <w:keepLines/>
      <w:keepNext/>
      <w:spacing w:before="320" w:after="200"/>
      <w:outlineLvl w:val="8"/>
    </w:pPr>
    <w:rPr>
      <w:rFonts w:ascii="Arial" w:hAnsi="Arial" w:eastAsia="Arial" w:cs="Arial"/>
      <w:i/>
      <w:iCs/>
      <w:szCs w:val="21"/>
    </w:rPr>
  </w:style>
  <w:style w:type="character" w:styleId="899" w:default="1">
    <w:name w:val="Default Paragraph Font"/>
    <w:uiPriority w:val="1"/>
    <w:semiHidden/>
    <w:unhideWhenUsed/>
    <w:qFormat/>
  </w:style>
  <w:style w:type="table" w:styleId="900" w:default="1">
    <w:name w:val="Normal Table"/>
    <w:uiPriority w:val="99"/>
    <w:semiHidden/>
    <w:unhideWhenUsed/>
    <w:qFormat/>
    <w:tblPr>
      <w:tblCellMar>
        <w:left w:w="108" w:type="dxa"/>
        <w:top w:w="0" w:type="dxa"/>
        <w:right w:w="108" w:type="dxa"/>
        <w:bottom w:w="0" w:type="dxa"/>
      </w:tblCellMar>
    </w:tblPr>
  </w:style>
  <w:style w:type="paragraph" w:styleId="901">
    <w:name w:val="Body Text 2"/>
    <w:basedOn w:val="889"/>
    <w:uiPriority w:val="0"/>
    <w:qFormat/>
    <w:pPr>
      <w:jc w:val="center"/>
    </w:pPr>
    <w:rPr>
      <w:rFonts w:ascii="仿宋_GB2312" w:eastAsia="仿宋_GB2312"/>
      <w:sz w:val="44"/>
    </w:rPr>
  </w:style>
  <w:style w:type="paragraph" w:styleId="902">
    <w:name w:val="toc 7"/>
    <w:basedOn w:val="889"/>
    <w:next w:val="889"/>
    <w:uiPriority w:val="39"/>
    <w:unhideWhenUsed/>
    <w:qFormat/>
    <w:pPr>
      <w:ind w:left="1701"/>
      <w:spacing w:after="57"/>
    </w:pPr>
  </w:style>
  <w:style w:type="paragraph" w:styleId="903">
    <w:name w:val="Caption"/>
    <w:basedOn w:val="889"/>
    <w:next w:val="88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04">
    <w:name w:val="annotation text"/>
    <w:basedOn w:val="889"/>
    <w:uiPriority w:val="0"/>
    <w:qFormat/>
    <w:pPr>
      <w:jc w:val="left"/>
    </w:pPr>
  </w:style>
  <w:style w:type="paragraph" w:styleId="905">
    <w:name w:val="Body Text"/>
    <w:basedOn w:val="889"/>
    <w:next w:val="906"/>
    <w:uiPriority w:val="99"/>
    <w:qFormat/>
    <w:pPr>
      <w:spacing w:after="120"/>
    </w:pPr>
    <w:rPr>
      <w:rFonts w:ascii="Calibri" w:hAnsi="Calibri"/>
    </w:rPr>
  </w:style>
  <w:style w:type="paragraph" w:styleId="906" w:customStyle="1">
    <w:name w:val="一级条标题"/>
    <w:basedOn w:val="907"/>
    <w:next w:val="908"/>
    <w:uiPriority w:val="0"/>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907" w:customStyle="1">
    <w:name w:val="章标题"/>
    <w:next w:val="889"/>
    <w:uiPriority w:val="0"/>
    <w:qFormat/>
    <w:pPr>
      <w:ind w:left="810" w:hanging="810"/>
      <w:jc w:val="both"/>
      <w:spacing w:before="50" w:after="50"/>
      <w:tabs>
        <w:tab w:val="left" w:pos="810" w:leader="none"/>
        <w:tab w:val="left" w:pos="1265" w:leader="none"/>
      </w:tabs>
      <w:outlineLvl w:val="1"/>
    </w:pPr>
    <w:rPr>
      <w:rFonts w:ascii="黑体" w:hAnsi="Times New Roman" w:eastAsia="黑体" w:cs="Times New Roman"/>
      <w:sz w:val="21"/>
      <w:szCs w:val="22"/>
      <w:lang w:val="en-US" w:eastAsia="zh-CN" w:bidi="ar-SA"/>
    </w:rPr>
  </w:style>
  <w:style w:type="paragraph" w:styleId="908" w:customStyle="1">
    <w:name w:val="段"/>
    <w:basedOn w:val="909"/>
    <w:next w:val="889"/>
    <w:uiPriority w:val="0"/>
    <w:qFormat/>
    <w:pPr>
      <w:ind w:firstLine="200"/>
      <w:widowControl/>
    </w:pPr>
    <w:rPr>
      <w:rFonts w:hint="eastAsia" w:ascii="宋体"/>
      <w:szCs w:val="20"/>
    </w:rPr>
  </w:style>
  <w:style w:type="paragraph" w:styleId="909" w:customStyle="1">
    <w:name w:val="正文1"/>
    <w:next w:val="910"/>
    <w:link w:val="1071"/>
    <w:uiPriority w:val="0"/>
    <w:qFormat/>
    <w:pPr>
      <w:jc w:val="both"/>
      <w:widowControl w:val="off"/>
    </w:pPr>
    <w:rPr>
      <w:rFonts w:ascii="Times New Roman" w:hAnsi="Times New Roman" w:eastAsia="宋体" w:cs="Times New Roman"/>
      <w:sz w:val="21"/>
      <w:szCs w:val="24"/>
      <w:lang w:val="en-US" w:eastAsia="zh-CN" w:bidi="ar-SA"/>
    </w:rPr>
  </w:style>
  <w:style w:type="paragraph" w:styleId="910" w:customStyle="1">
    <w:name w:val="正文文本1"/>
    <w:basedOn w:val="909"/>
    <w:next w:val="909"/>
    <w:uiPriority w:val="0"/>
    <w:qFormat/>
    <w:pPr>
      <w:spacing w:after="120"/>
    </w:pPr>
    <w:rPr>
      <w:lang w:eastAsia="en-US"/>
    </w:rPr>
  </w:style>
  <w:style w:type="paragraph" w:styleId="911">
    <w:name w:val="Body Text Indent"/>
    <w:basedOn w:val="889"/>
    <w:uiPriority w:val="0"/>
    <w:qFormat/>
    <w:pPr>
      <w:ind w:left="420"/>
      <w:spacing w:after="120"/>
    </w:pPr>
    <w:rPr>
      <w:rFonts w:ascii="Calibri" w:hAnsi="Calibri"/>
    </w:rPr>
  </w:style>
  <w:style w:type="paragraph" w:styleId="912">
    <w:name w:val="Block Text"/>
    <w:basedOn w:val="889"/>
    <w:uiPriority w:val="99"/>
    <w:unhideWhenUsed/>
    <w:qFormat/>
    <w:pPr>
      <w:ind w:left="1440" w:right="1440"/>
      <w:spacing w:after="120"/>
    </w:pPr>
  </w:style>
  <w:style w:type="paragraph" w:styleId="913">
    <w:name w:val="toc 5"/>
    <w:basedOn w:val="889"/>
    <w:next w:val="889"/>
    <w:uiPriority w:val="39"/>
    <w:unhideWhenUsed/>
    <w:qFormat/>
    <w:pPr>
      <w:ind w:left="1134"/>
      <w:spacing w:after="57"/>
    </w:pPr>
  </w:style>
  <w:style w:type="paragraph" w:styleId="914">
    <w:name w:val="toc 3"/>
    <w:basedOn w:val="889"/>
    <w:next w:val="889"/>
    <w:uiPriority w:val="39"/>
    <w:unhideWhenUsed/>
    <w:qFormat/>
    <w:pPr>
      <w:ind w:left="567"/>
      <w:spacing w:after="57"/>
    </w:pPr>
  </w:style>
  <w:style w:type="paragraph" w:styleId="915">
    <w:name w:val="Plain Text"/>
    <w:uiPriority w:val="99"/>
    <w:qFormat/>
    <w:pPr>
      <w:jc w:val="both"/>
      <w:widowControl w:val="off"/>
    </w:pPr>
    <w:rPr>
      <w:rFonts w:ascii="宋体" w:hAnsi="Courier New" w:eastAsia="宋体" w:cs="Times New Roman"/>
      <w:sz w:val="21"/>
      <w:lang w:val="en-US" w:eastAsia="zh-CN" w:bidi="ar-SA"/>
    </w:rPr>
  </w:style>
  <w:style w:type="paragraph" w:styleId="916">
    <w:name w:val="toc 8"/>
    <w:basedOn w:val="889"/>
    <w:next w:val="889"/>
    <w:uiPriority w:val="39"/>
    <w:unhideWhenUsed/>
    <w:qFormat/>
    <w:pPr>
      <w:ind w:left="1984"/>
      <w:spacing w:after="57"/>
    </w:pPr>
  </w:style>
  <w:style w:type="paragraph" w:styleId="917">
    <w:name w:val="endnote text"/>
    <w:basedOn w:val="889"/>
    <w:link w:val="1009"/>
    <w:uiPriority w:val="99"/>
    <w:semiHidden/>
    <w:unhideWhenUsed/>
    <w:qFormat/>
    <w:rPr>
      <w:sz w:val="20"/>
    </w:rPr>
  </w:style>
  <w:style w:type="paragraph" w:styleId="918">
    <w:name w:val="Balloon Text"/>
    <w:basedOn w:val="889"/>
    <w:link w:val="1251"/>
    <w:uiPriority w:val="99"/>
    <w:semiHidden/>
    <w:unhideWhenUsed/>
    <w:qFormat/>
    <w:rPr>
      <w:sz w:val="18"/>
      <w:szCs w:val="18"/>
    </w:rPr>
  </w:style>
  <w:style w:type="paragraph" w:styleId="919">
    <w:name w:val="Footer"/>
    <w:basedOn w:val="889"/>
    <w:link w:val="1007"/>
    <w:uiPriority w:val="99"/>
    <w:unhideWhenUsed/>
    <w:qFormat/>
    <w:pPr>
      <w:tabs>
        <w:tab w:val="center" w:pos="7143" w:leader="none"/>
        <w:tab w:val="right" w:pos="14287" w:leader="none"/>
      </w:tabs>
    </w:pPr>
  </w:style>
  <w:style w:type="paragraph" w:styleId="920">
    <w:name w:val="Header"/>
    <w:basedOn w:val="889"/>
    <w:link w:val="1006"/>
    <w:uiPriority w:val="99"/>
    <w:unhideWhenUsed/>
    <w:qFormat/>
    <w:pPr>
      <w:tabs>
        <w:tab w:val="center" w:pos="7143" w:leader="none"/>
        <w:tab w:val="right" w:pos="14287" w:leader="none"/>
      </w:tabs>
    </w:pPr>
  </w:style>
  <w:style w:type="paragraph" w:styleId="921">
    <w:name w:val="toc 1"/>
    <w:basedOn w:val="889"/>
    <w:next w:val="889"/>
    <w:uiPriority w:val="39"/>
    <w:unhideWhenUsed/>
    <w:qFormat/>
    <w:pPr>
      <w:spacing w:after="57"/>
    </w:pPr>
  </w:style>
  <w:style w:type="paragraph" w:styleId="922">
    <w:name w:val="toc 4"/>
    <w:basedOn w:val="889"/>
    <w:next w:val="889"/>
    <w:uiPriority w:val="39"/>
    <w:unhideWhenUsed/>
    <w:qFormat/>
    <w:pPr>
      <w:ind w:left="850"/>
      <w:spacing w:after="57"/>
    </w:pPr>
  </w:style>
  <w:style w:type="paragraph" w:styleId="923">
    <w:name w:val="Subtitle"/>
    <w:basedOn w:val="889"/>
    <w:next w:val="889"/>
    <w:link w:val="1001"/>
    <w:uiPriority w:val="11"/>
    <w:qFormat/>
    <w:pPr>
      <w:spacing w:before="200" w:after="200"/>
    </w:pPr>
    <w:rPr>
      <w:sz w:val="24"/>
    </w:rPr>
  </w:style>
  <w:style w:type="paragraph" w:styleId="924">
    <w:name w:val="footnote text"/>
    <w:basedOn w:val="889"/>
    <w:link w:val="1008"/>
    <w:uiPriority w:val="99"/>
    <w:semiHidden/>
    <w:unhideWhenUsed/>
    <w:qFormat/>
    <w:pPr>
      <w:spacing w:after="40"/>
    </w:pPr>
    <w:rPr>
      <w:sz w:val="18"/>
    </w:rPr>
  </w:style>
  <w:style w:type="paragraph" w:styleId="925">
    <w:name w:val="toc 6"/>
    <w:basedOn w:val="889"/>
    <w:next w:val="889"/>
    <w:uiPriority w:val="39"/>
    <w:unhideWhenUsed/>
    <w:qFormat/>
    <w:pPr>
      <w:ind w:left="1417"/>
      <w:spacing w:after="57"/>
    </w:pPr>
  </w:style>
  <w:style w:type="paragraph" w:styleId="926">
    <w:name w:val="table of figures"/>
    <w:basedOn w:val="889"/>
    <w:next w:val="889"/>
    <w:uiPriority w:val="99"/>
    <w:unhideWhenUsed/>
    <w:qFormat/>
  </w:style>
  <w:style w:type="paragraph" w:styleId="927">
    <w:name w:val="toc 2"/>
    <w:basedOn w:val="889"/>
    <w:next w:val="889"/>
    <w:uiPriority w:val="39"/>
    <w:unhideWhenUsed/>
    <w:qFormat/>
    <w:pPr>
      <w:ind w:left="283"/>
      <w:spacing w:after="57"/>
    </w:pPr>
  </w:style>
  <w:style w:type="paragraph" w:styleId="928">
    <w:name w:val="toc 9"/>
    <w:basedOn w:val="889"/>
    <w:next w:val="889"/>
    <w:uiPriority w:val="39"/>
    <w:unhideWhenUsed/>
    <w:qFormat/>
    <w:pPr>
      <w:ind w:left="2268"/>
      <w:spacing w:after="57"/>
    </w:pPr>
  </w:style>
  <w:style w:type="paragraph" w:styleId="929">
    <w:name w:val="Normal (Web)"/>
    <w:basedOn w:val="889"/>
    <w:uiPriority w:val="99"/>
    <w:qFormat/>
    <w:pPr>
      <w:jc w:val="left"/>
      <w:spacing w:before="100" w:beforeAutospacing="1" w:after="100" w:afterAutospacing="1"/>
      <w:widowControl/>
    </w:pPr>
    <w:rPr>
      <w:rFonts w:ascii="宋体" w:hAnsi="宋体" w:cs="宋体"/>
      <w:sz w:val="24"/>
    </w:rPr>
  </w:style>
  <w:style w:type="paragraph" w:styleId="930">
    <w:name w:val="Title"/>
    <w:basedOn w:val="889"/>
    <w:next w:val="889"/>
    <w:link w:val="1000"/>
    <w:uiPriority w:val="10"/>
    <w:qFormat/>
    <w:pPr>
      <w:contextualSpacing/>
      <w:spacing w:before="300" w:after="200"/>
    </w:pPr>
    <w:rPr>
      <w:sz w:val="48"/>
      <w:szCs w:val="48"/>
    </w:rPr>
  </w:style>
  <w:style w:type="table" w:styleId="931">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2">
    <w:name w:val="endnote reference"/>
    <w:uiPriority w:val="99"/>
    <w:semiHidden/>
    <w:unhideWhenUsed/>
    <w:qFormat/>
    <w:rPr>
      <w:vertAlign w:val="superscript"/>
    </w:rPr>
  </w:style>
  <w:style w:type="character" w:styleId="933">
    <w:name w:val="Hyperlink"/>
    <w:uiPriority w:val="99"/>
    <w:unhideWhenUsed/>
    <w:qFormat/>
    <w:rPr>
      <w:color w:val="0000ff" w:themeColor="hyperlink"/>
      <w:u w:val="single"/>
      <w14:textFill>
        <w14:solidFill>
          <w14:schemeClr w14:val="hlink"/>
        </w14:solidFill>
      </w14:textFill>
    </w:rPr>
  </w:style>
  <w:style w:type="character" w:styleId="934">
    <w:name w:val="footnote reference"/>
    <w:uiPriority w:val="99"/>
    <w:unhideWhenUsed/>
    <w:qFormat/>
    <w:rPr>
      <w:vertAlign w:val="superscript"/>
    </w:rPr>
  </w:style>
  <w:style w:type="character" w:styleId="935" w:customStyle="1">
    <w:name w:val="标题 3 Char1"/>
    <w:link w:val="892"/>
    <w:uiPriority w:val="9"/>
    <w:qFormat/>
    <w:rPr>
      <w:rFonts w:ascii="Arial" w:hAnsi="Arial" w:eastAsia="Arial" w:cs="Arial"/>
      <w:sz w:val="30"/>
      <w:szCs w:val="30"/>
    </w:rPr>
  </w:style>
  <w:style w:type="character" w:styleId="936" w:customStyle="1">
    <w:name w:val="Heading 1 Char"/>
    <w:basedOn w:val="899"/>
    <w:uiPriority w:val="9"/>
    <w:qFormat/>
    <w:rPr>
      <w:rFonts w:ascii="Arial" w:hAnsi="Arial" w:eastAsia="Arial" w:cs="Arial"/>
      <w:sz w:val="40"/>
      <w:szCs w:val="40"/>
    </w:rPr>
  </w:style>
  <w:style w:type="character" w:styleId="937" w:customStyle="1">
    <w:name w:val="Heading 2 Char"/>
    <w:basedOn w:val="899"/>
    <w:uiPriority w:val="9"/>
    <w:qFormat/>
    <w:rPr>
      <w:rFonts w:ascii="Arial" w:hAnsi="Arial" w:eastAsia="Arial" w:cs="Arial"/>
      <w:sz w:val="34"/>
    </w:rPr>
  </w:style>
  <w:style w:type="character" w:styleId="938" w:customStyle="1">
    <w:name w:val="Heading 3 Char"/>
    <w:basedOn w:val="899"/>
    <w:uiPriority w:val="9"/>
    <w:qFormat/>
    <w:rPr>
      <w:rFonts w:ascii="Arial" w:hAnsi="Arial" w:eastAsia="Arial" w:cs="Arial"/>
      <w:sz w:val="30"/>
      <w:szCs w:val="30"/>
    </w:rPr>
  </w:style>
  <w:style w:type="character" w:styleId="939" w:customStyle="1">
    <w:name w:val="Heading 4 Char"/>
    <w:basedOn w:val="899"/>
    <w:uiPriority w:val="9"/>
    <w:qFormat/>
    <w:rPr>
      <w:rFonts w:ascii="Arial" w:hAnsi="Arial" w:eastAsia="Arial" w:cs="Arial"/>
      <w:b/>
      <w:bCs/>
      <w:sz w:val="26"/>
      <w:szCs w:val="26"/>
    </w:rPr>
  </w:style>
  <w:style w:type="character" w:styleId="940" w:customStyle="1">
    <w:name w:val="Heading 5 Char"/>
    <w:basedOn w:val="899"/>
    <w:uiPriority w:val="9"/>
    <w:qFormat/>
    <w:rPr>
      <w:rFonts w:ascii="Arial" w:hAnsi="Arial" w:eastAsia="Arial" w:cs="Arial"/>
      <w:b/>
      <w:bCs/>
      <w:sz w:val="24"/>
      <w:szCs w:val="24"/>
    </w:rPr>
  </w:style>
  <w:style w:type="character" w:styleId="941" w:customStyle="1">
    <w:name w:val="Heading 6 Char"/>
    <w:basedOn w:val="899"/>
    <w:uiPriority w:val="9"/>
    <w:qFormat/>
    <w:rPr>
      <w:rFonts w:ascii="Arial" w:hAnsi="Arial" w:eastAsia="Arial" w:cs="Arial"/>
      <w:b/>
      <w:bCs/>
      <w:sz w:val="22"/>
      <w:szCs w:val="22"/>
    </w:rPr>
  </w:style>
  <w:style w:type="character" w:styleId="942" w:customStyle="1">
    <w:name w:val="Heading 7 Char"/>
    <w:basedOn w:val="899"/>
    <w:uiPriority w:val="9"/>
    <w:qFormat/>
    <w:rPr>
      <w:rFonts w:ascii="Arial" w:hAnsi="Arial" w:eastAsia="Arial" w:cs="Arial"/>
      <w:b/>
      <w:bCs/>
      <w:i/>
      <w:iCs/>
      <w:sz w:val="22"/>
      <w:szCs w:val="22"/>
    </w:rPr>
  </w:style>
  <w:style w:type="character" w:styleId="943" w:customStyle="1">
    <w:name w:val="Heading 8 Char"/>
    <w:basedOn w:val="899"/>
    <w:uiPriority w:val="9"/>
    <w:qFormat/>
    <w:rPr>
      <w:rFonts w:ascii="Arial" w:hAnsi="Arial" w:eastAsia="Arial" w:cs="Arial"/>
      <w:i/>
      <w:iCs/>
      <w:sz w:val="22"/>
      <w:szCs w:val="22"/>
    </w:rPr>
  </w:style>
  <w:style w:type="character" w:styleId="944" w:customStyle="1">
    <w:name w:val="Heading 9 Char"/>
    <w:basedOn w:val="899"/>
    <w:uiPriority w:val="9"/>
    <w:qFormat/>
    <w:rPr>
      <w:rFonts w:ascii="Arial" w:hAnsi="Arial" w:eastAsia="Arial" w:cs="Arial"/>
      <w:i/>
      <w:iCs/>
      <w:sz w:val="21"/>
      <w:szCs w:val="21"/>
    </w:rPr>
  </w:style>
  <w:style w:type="character" w:styleId="945" w:customStyle="1">
    <w:name w:val="Title Char"/>
    <w:basedOn w:val="899"/>
    <w:uiPriority w:val="10"/>
    <w:qFormat/>
    <w:rPr>
      <w:sz w:val="48"/>
      <w:szCs w:val="48"/>
    </w:rPr>
  </w:style>
  <w:style w:type="character" w:styleId="946" w:customStyle="1">
    <w:name w:val="Subtitle Char"/>
    <w:basedOn w:val="899"/>
    <w:uiPriority w:val="11"/>
    <w:qFormat/>
    <w:rPr>
      <w:sz w:val="24"/>
      <w:szCs w:val="24"/>
    </w:rPr>
  </w:style>
  <w:style w:type="character" w:styleId="947" w:customStyle="1">
    <w:name w:val="Quote Char"/>
    <w:uiPriority w:val="29"/>
    <w:qFormat/>
    <w:rPr>
      <w:i/>
    </w:rPr>
  </w:style>
  <w:style w:type="character" w:styleId="948" w:customStyle="1">
    <w:name w:val="Intense Quote Char"/>
    <w:uiPriority w:val="30"/>
    <w:qFormat/>
    <w:rPr>
      <w:i/>
    </w:rPr>
  </w:style>
  <w:style w:type="character" w:styleId="949" w:customStyle="1">
    <w:name w:val="Header Char"/>
    <w:basedOn w:val="899"/>
    <w:uiPriority w:val="99"/>
    <w:qFormat/>
  </w:style>
  <w:style w:type="character" w:styleId="950" w:customStyle="1">
    <w:name w:val="Caption Char"/>
    <w:uiPriority w:val="99"/>
    <w:qFormat/>
  </w:style>
  <w:style w:type="table" w:styleId="951" w:customStyle="1">
    <w:name w:val="Plain Table 1"/>
    <w:basedOn w:val="900"/>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52" w:customStyle="1">
    <w:name w:val="Plain Table 2"/>
    <w:basedOn w:val="900"/>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53" w:customStyle="1">
    <w:name w:val="Plain Table 3"/>
    <w:basedOn w:val="90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4" w:customStyle="1">
    <w:name w:val="Plain Table 4"/>
    <w:basedOn w:val="90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5" w:customStyle="1">
    <w:name w:val="Plain Table 5"/>
    <w:basedOn w:val="900"/>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6" w:customStyle="1">
    <w:name w:val="Grid Table 1 Light"/>
    <w:basedOn w:val="900"/>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57" w:customStyle="1">
    <w:name w:val="Grid Table 2"/>
    <w:basedOn w:val="9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58" w:customStyle="1">
    <w:name w:val="Grid Table 3"/>
    <w:basedOn w:val="900"/>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9" w:customStyle="1">
    <w:name w:val="Grid Table 4"/>
    <w:basedOn w:val="900"/>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60" w:customStyle="1">
    <w:name w:val="Grid Table 5 Dark"/>
    <w:basedOn w:val="900"/>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61" w:customStyle="1">
    <w:name w:val="Grid Table 6 Colorful"/>
    <w:basedOn w:val="900"/>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62" w:customStyle="1">
    <w:name w:val="Grid Table 7 Colorful"/>
    <w:basedOn w:val="900"/>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3" w:customStyle="1">
    <w:name w:val="List Table 1 Light"/>
    <w:basedOn w:val="900"/>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4" w:customStyle="1">
    <w:name w:val="List Table 2"/>
    <w:basedOn w:val="900"/>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65" w:customStyle="1">
    <w:name w:val="List Table 3"/>
    <w:basedOn w:val="9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6" w:customStyle="1">
    <w:name w:val="List Table 4"/>
    <w:basedOn w:val="900"/>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7" w:customStyle="1">
    <w:name w:val="List Table 5 Dark"/>
    <w:basedOn w:val="900"/>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68" w:customStyle="1">
    <w:name w:val="List Table 6 Colorful"/>
    <w:basedOn w:val="900"/>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69" w:customStyle="1">
    <w:name w:val="List Table 7 Colorful"/>
    <w:basedOn w:val="900"/>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character" w:styleId="970" w:customStyle="1">
    <w:name w:val="Footnote Text Char"/>
    <w:uiPriority w:val="99"/>
    <w:qFormat/>
    <w:rPr>
      <w:sz w:val="18"/>
    </w:rPr>
  </w:style>
  <w:style w:type="character" w:styleId="971" w:customStyle="1">
    <w:name w:val="Endnote Text Char"/>
    <w:uiPriority w:val="99"/>
    <w:qFormat/>
    <w:rPr>
      <w:sz w:val="20"/>
    </w:rPr>
  </w:style>
  <w:style w:type="paragraph" w:styleId="972" w:customStyle="1">
    <w:name w:val="TOC 标题1"/>
    <w:uiPriority w:val="39"/>
    <w:unhideWhenUsed/>
    <w:qFormat/>
    <w:rPr>
      <w:rFonts w:ascii="Times New Roman" w:hAnsi="Times New Roman" w:eastAsia="宋体" w:cs="Times New Roman"/>
      <w:lang w:val="en-US" w:eastAsia="zh-CN" w:bidi="ar-SA"/>
    </w:rPr>
  </w:style>
  <w:style w:type="paragraph" w:styleId="973" w:customStyle="1">
    <w:name w:val="正文文本11"/>
    <w:basedOn w:val="974"/>
    <w:next w:val="889"/>
    <w:uiPriority w:val="0"/>
    <w:qFormat/>
    <w:pPr>
      <w:spacing w:after="120"/>
    </w:pPr>
  </w:style>
  <w:style w:type="paragraph" w:styleId="974" w:customStyle="1">
    <w:name w:val="正文112"/>
    <w:next w:val="889"/>
    <w:uiPriority w:val="0"/>
    <w:qFormat/>
    <w:pPr>
      <w:jc w:val="both"/>
      <w:widowControl w:val="off"/>
    </w:pPr>
    <w:rPr>
      <w:rFonts w:ascii="Times New Roman" w:hAnsi="Times New Roman" w:eastAsia="宋体" w:cs="Times New Roman"/>
      <w:sz w:val="21"/>
      <w:szCs w:val="24"/>
      <w:lang w:val="en-US" w:eastAsia="zh-CN" w:bidi="ar-SA"/>
    </w:rPr>
  </w:style>
  <w:style w:type="paragraph" w:styleId="975" w:customStyle="1">
    <w:name w:val="正文11"/>
    <w:next w:val="976"/>
    <w:uiPriority w:val="0"/>
    <w:qFormat/>
    <w:pPr>
      <w:jc w:val="both"/>
      <w:widowControl w:val="off"/>
    </w:pPr>
    <w:rPr>
      <w:rFonts w:ascii="Times New Roman" w:hAnsi="Times New Roman" w:eastAsia="宋体" w:cs="Times New Roman"/>
      <w:sz w:val="21"/>
      <w:szCs w:val="24"/>
      <w:lang w:val="en-US" w:eastAsia="zh-CN" w:bidi="ar-SA"/>
    </w:rPr>
  </w:style>
  <w:style w:type="paragraph" w:styleId="976" w:customStyle="1">
    <w:name w:val="目录 11"/>
    <w:basedOn w:val="977"/>
    <w:next w:val="975"/>
    <w:uiPriority w:val="39"/>
    <w:unhideWhenUsed/>
    <w:qFormat/>
    <w:pPr>
      <w:spacing w:after="57"/>
    </w:pPr>
  </w:style>
  <w:style w:type="paragraph" w:styleId="977" w:customStyle="1">
    <w:name w:val="正文12"/>
    <w:next w:val="978"/>
    <w:uiPriority w:val="0"/>
    <w:qFormat/>
    <w:pPr>
      <w:jc w:val="both"/>
      <w:widowControl w:val="off"/>
    </w:pPr>
    <w:rPr>
      <w:rFonts w:ascii="Times New Roman" w:hAnsi="Times New Roman" w:eastAsia="宋体" w:cs="Times New Roman"/>
      <w:sz w:val="21"/>
      <w:szCs w:val="24"/>
      <w:lang w:val="en-US" w:eastAsia="zh-CN" w:bidi="ar-SA"/>
    </w:rPr>
  </w:style>
  <w:style w:type="paragraph" w:styleId="978" w:customStyle="1">
    <w:name w:val="标题 21"/>
    <w:basedOn w:val="889"/>
    <w:next w:val="975"/>
    <w:link w:val="1065"/>
    <w:uiPriority w:val="9"/>
    <w:qFormat/>
    <w:pPr>
      <w:numPr>
        <w:ilvl w:val="0"/>
        <w:numId w:val="1"/>
      </w:numPr>
      <w:keepLines/>
      <w:keepNext/>
      <w:spacing w:before="260" w:after="260" w:line="416" w:lineRule="auto"/>
      <w:outlineLvl w:val="1"/>
    </w:pPr>
    <w:rPr>
      <w:rFonts w:ascii="Cambria" w:hAnsi="Cambria"/>
      <w:b/>
      <w:bCs/>
      <w:sz w:val="28"/>
      <w:szCs w:val="32"/>
    </w:rPr>
  </w:style>
  <w:style w:type="paragraph" w:styleId="979" w:customStyle="1">
    <w:name w:val="文本块1"/>
    <w:basedOn w:val="889"/>
    <w:next w:val="980"/>
    <w:uiPriority w:val="99"/>
    <w:unhideWhenUsed/>
    <w:qFormat/>
    <w:pPr>
      <w:ind w:left="567" w:right="454" w:firstLine="498"/>
      <w:jc w:val="left"/>
      <w:widowControl/>
    </w:pPr>
    <w:rPr>
      <w:rFonts w:ascii="仿宋_GB2312" w:eastAsia="仿宋_GB2312"/>
      <w:sz w:val="30"/>
      <w:szCs w:val="20"/>
    </w:rPr>
  </w:style>
  <w:style w:type="paragraph" w:styleId="980" w:customStyle="1">
    <w:name w:val="标题 411"/>
    <w:basedOn w:val="977"/>
    <w:next w:val="975"/>
    <w:link w:val="1034"/>
    <w:uiPriority w:val="9"/>
    <w:qFormat/>
    <w:pPr>
      <w:keepLines/>
      <w:keepNext/>
      <w:spacing w:before="320" w:after="200"/>
      <w:outlineLvl w:val="3"/>
    </w:pPr>
    <w:rPr>
      <w:rFonts w:ascii="Arial" w:hAnsi="Arial" w:eastAsia="Arial" w:cs="Arial"/>
      <w:b/>
      <w:bCs/>
      <w:sz w:val="26"/>
      <w:szCs w:val="26"/>
    </w:rPr>
  </w:style>
  <w:style w:type="paragraph" w:styleId="981" w:customStyle="1">
    <w:name w:val="脚注文本1"/>
    <w:basedOn w:val="909"/>
    <w:next w:val="982"/>
    <w:link w:val="1051"/>
    <w:uiPriority w:val="99"/>
    <w:unhideWhenUsed/>
    <w:qFormat/>
    <w:pPr>
      <w:spacing w:after="40"/>
    </w:pPr>
    <w:rPr>
      <w:sz w:val="18"/>
    </w:rPr>
  </w:style>
  <w:style w:type="paragraph" w:styleId="982" w:customStyle="1">
    <w:name w:val="索引 51"/>
    <w:basedOn w:val="909"/>
    <w:next w:val="909"/>
    <w:uiPriority w:val="0"/>
    <w:qFormat/>
    <w:pPr>
      <w:ind w:left="798"/>
    </w:pPr>
    <w:rPr>
      <w:rFonts w:ascii="Calibri" w:hAnsi="Calibri"/>
    </w:rPr>
  </w:style>
  <w:style w:type="paragraph" w:styleId="983" w:customStyle="1">
    <w:name w:val="正文111"/>
    <w:next w:val="984"/>
    <w:uiPriority w:val="0"/>
    <w:qFormat/>
    <w:pPr>
      <w:jc w:val="both"/>
      <w:widowControl w:val="off"/>
    </w:pPr>
    <w:rPr>
      <w:rFonts w:ascii="Times New Roman" w:hAnsi="Times New Roman" w:eastAsia="宋体" w:cs="Times New Roman"/>
      <w:sz w:val="21"/>
      <w:szCs w:val="24"/>
      <w:lang w:val="en-US" w:eastAsia="zh-CN" w:bidi="ar-SA"/>
    </w:rPr>
  </w:style>
  <w:style w:type="paragraph" w:styleId="984" w:customStyle="1">
    <w:name w:val="正文首行缩进1"/>
    <w:basedOn w:val="973"/>
    <w:next w:val="985"/>
    <w:uiPriority w:val="0"/>
    <w:qFormat/>
    <w:pPr>
      <w:ind w:firstLine="200"/>
      <w:spacing w:line="360" w:lineRule="auto"/>
    </w:pPr>
    <w:rPr>
      <w:rFonts w:ascii="仿宋_GB2312" w:eastAsia="仿宋_GB2312"/>
      <w:sz w:val="30"/>
      <w:szCs w:val="30"/>
    </w:rPr>
  </w:style>
  <w:style w:type="paragraph" w:styleId="985" w:customStyle="1">
    <w:name w:val="正文首行缩进 211"/>
    <w:next w:val="974"/>
    <w:uiPriority w:val="99"/>
    <w:unhideWhenUsed/>
    <w:qFormat/>
    <w:pPr>
      <w:ind w:firstLine="420"/>
      <w:jc w:val="both"/>
      <w:spacing w:after="120"/>
      <w:widowControl w:val="off"/>
    </w:pPr>
    <w:rPr>
      <w:rFonts w:ascii="Times New Roman" w:hAnsi="Times New Roman" w:eastAsia="宋体" w:cs="Times New Roman"/>
      <w:sz w:val="21"/>
      <w:szCs w:val="24"/>
      <w:lang w:val="en-US" w:eastAsia="zh-CN" w:bidi="ar-SA"/>
    </w:rPr>
  </w:style>
  <w:style w:type="paragraph" w:styleId="986" w:customStyle="1">
    <w:name w:val="正文首行缩进 21"/>
    <w:basedOn w:val="987"/>
    <w:next w:val="983"/>
    <w:link w:val="1073"/>
    <w:uiPriority w:val="0"/>
    <w:qFormat/>
    <w:pPr>
      <w:ind w:firstLine="420"/>
    </w:pPr>
  </w:style>
  <w:style w:type="paragraph" w:styleId="987" w:customStyle="1">
    <w:name w:val="正文文本缩进1"/>
    <w:basedOn w:val="889"/>
    <w:next w:val="988"/>
    <w:link w:val="1054"/>
    <w:uiPriority w:val="0"/>
    <w:qFormat/>
    <w:pPr>
      <w:ind w:left="420"/>
      <w:spacing w:after="120"/>
    </w:pPr>
  </w:style>
  <w:style w:type="paragraph" w:styleId="988" w:customStyle="1">
    <w:name w:val="寄信人地址1"/>
    <w:basedOn w:val="889"/>
    <w:uiPriority w:val="0"/>
    <w:qFormat/>
    <w:rPr>
      <w:rFonts w:ascii="Arial" w:hAnsi="Arial"/>
    </w:rPr>
  </w:style>
  <w:style w:type="paragraph" w:styleId="989" w:customStyle="1">
    <w:name w:val="正文缩进1"/>
    <w:basedOn w:val="889"/>
    <w:uiPriority w:val="0"/>
    <w:qFormat/>
    <w:pPr>
      <w:ind w:firstLine="420"/>
    </w:pPr>
  </w:style>
  <w:style w:type="character" w:styleId="990" w:customStyle="1">
    <w:name w:val="标题 1 Char1"/>
    <w:link w:val="890"/>
    <w:uiPriority w:val="9"/>
    <w:qFormat/>
    <w:rPr>
      <w:rFonts w:ascii="Arial" w:hAnsi="Arial" w:eastAsia="Arial" w:cs="Arial"/>
      <w:sz w:val="40"/>
      <w:szCs w:val="40"/>
    </w:rPr>
  </w:style>
  <w:style w:type="character" w:styleId="991" w:customStyle="1">
    <w:name w:val="标题 2 Char2"/>
    <w:link w:val="891"/>
    <w:uiPriority w:val="9"/>
    <w:qFormat/>
    <w:rPr>
      <w:rFonts w:ascii="Arial" w:hAnsi="Arial" w:eastAsia="Arial" w:cs="Arial"/>
      <w:sz w:val="34"/>
    </w:rPr>
  </w:style>
  <w:style w:type="character" w:styleId="992" w:customStyle="1">
    <w:name w:val="标题 4 Char1"/>
    <w:link w:val="893"/>
    <w:uiPriority w:val="9"/>
    <w:qFormat/>
    <w:rPr>
      <w:rFonts w:ascii="Arial" w:hAnsi="Arial" w:eastAsia="Arial" w:cs="Arial"/>
      <w:b/>
      <w:bCs/>
      <w:sz w:val="26"/>
      <w:szCs w:val="26"/>
    </w:rPr>
  </w:style>
  <w:style w:type="character" w:styleId="993" w:customStyle="1">
    <w:name w:val="标题 5 Char1"/>
    <w:link w:val="894"/>
    <w:uiPriority w:val="9"/>
    <w:qFormat/>
    <w:rPr>
      <w:rFonts w:ascii="Arial" w:hAnsi="Arial" w:eastAsia="Arial" w:cs="Arial"/>
      <w:b/>
      <w:bCs/>
      <w:sz w:val="24"/>
      <w:szCs w:val="24"/>
    </w:rPr>
  </w:style>
  <w:style w:type="character" w:styleId="994" w:customStyle="1">
    <w:name w:val="标题 6 Char1"/>
    <w:link w:val="895"/>
    <w:uiPriority w:val="9"/>
    <w:qFormat/>
    <w:rPr>
      <w:rFonts w:ascii="Arial" w:hAnsi="Arial" w:eastAsia="Arial" w:cs="Arial"/>
      <w:b/>
      <w:bCs/>
      <w:sz w:val="22"/>
      <w:szCs w:val="22"/>
    </w:rPr>
  </w:style>
  <w:style w:type="character" w:styleId="995" w:customStyle="1">
    <w:name w:val="标题 7 Char1"/>
    <w:link w:val="896"/>
    <w:uiPriority w:val="9"/>
    <w:qFormat/>
    <w:rPr>
      <w:rFonts w:ascii="Arial" w:hAnsi="Arial" w:eastAsia="Arial" w:cs="Arial"/>
      <w:b/>
      <w:bCs/>
      <w:i/>
      <w:iCs/>
      <w:sz w:val="22"/>
      <w:szCs w:val="22"/>
    </w:rPr>
  </w:style>
  <w:style w:type="character" w:styleId="996" w:customStyle="1">
    <w:name w:val="标题 8 Char1"/>
    <w:link w:val="897"/>
    <w:uiPriority w:val="9"/>
    <w:qFormat/>
    <w:rPr>
      <w:rFonts w:ascii="Arial" w:hAnsi="Arial" w:eastAsia="Arial" w:cs="Arial"/>
      <w:i/>
      <w:iCs/>
      <w:sz w:val="22"/>
      <w:szCs w:val="22"/>
    </w:rPr>
  </w:style>
  <w:style w:type="character" w:styleId="997" w:customStyle="1">
    <w:name w:val="标题 9 Char1"/>
    <w:link w:val="898"/>
    <w:uiPriority w:val="9"/>
    <w:qFormat/>
    <w:rPr>
      <w:rFonts w:ascii="Arial" w:hAnsi="Arial" w:eastAsia="Arial" w:cs="Arial"/>
      <w:i/>
      <w:iCs/>
      <w:sz w:val="21"/>
      <w:szCs w:val="21"/>
    </w:rPr>
  </w:style>
  <w:style w:type="paragraph" w:styleId="998">
    <w:name w:val="List Paragraph"/>
    <w:basedOn w:val="889"/>
    <w:uiPriority w:val="34"/>
    <w:qFormat/>
    <w:pPr>
      <w:contextualSpacing/>
      <w:ind w:left="720"/>
    </w:pPr>
  </w:style>
  <w:style w:type="paragraph" w:styleId="999">
    <w:name w:val="No Spacing"/>
    <w:uiPriority w:val="1"/>
    <w:qFormat/>
    <w:rPr>
      <w:rFonts w:ascii="Times New Roman" w:hAnsi="Times New Roman" w:eastAsia="宋体" w:cs="Times New Roman"/>
      <w:lang w:val="en-US" w:eastAsia="zh-CN" w:bidi="ar-SA"/>
    </w:rPr>
  </w:style>
  <w:style w:type="character" w:styleId="1000" w:customStyle="1">
    <w:name w:val="标题 Char1"/>
    <w:link w:val="930"/>
    <w:uiPriority w:val="10"/>
    <w:qFormat/>
    <w:rPr>
      <w:sz w:val="48"/>
      <w:szCs w:val="48"/>
    </w:rPr>
  </w:style>
  <w:style w:type="character" w:styleId="1001" w:customStyle="1">
    <w:name w:val="副标题 Char1"/>
    <w:link w:val="923"/>
    <w:uiPriority w:val="11"/>
    <w:qFormat/>
    <w:rPr>
      <w:sz w:val="24"/>
      <w:szCs w:val="24"/>
    </w:rPr>
  </w:style>
  <w:style w:type="paragraph" w:styleId="1002">
    <w:name w:val="Quote"/>
    <w:basedOn w:val="889"/>
    <w:next w:val="889"/>
    <w:link w:val="1003"/>
    <w:uiPriority w:val="29"/>
    <w:qFormat/>
    <w:pPr>
      <w:ind w:left="720" w:right="720"/>
    </w:pPr>
    <w:rPr>
      <w:i/>
    </w:rPr>
  </w:style>
  <w:style w:type="character" w:styleId="1003" w:customStyle="1">
    <w:name w:val="引用 Char1"/>
    <w:link w:val="1002"/>
    <w:uiPriority w:val="29"/>
    <w:qFormat/>
    <w:rPr>
      <w:i/>
    </w:rPr>
  </w:style>
  <w:style w:type="paragraph" w:styleId="1004">
    <w:name w:val="Intense Quote"/>
    <w:basedOn w:val="889"/>
    <w:next w:val="889"/>
    <w:link w:val="1005"/>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5" w:customStyle="1">
    <w:name w:val="明显引用 Char1"/>
    <w:link w:val="1004"/>
    <w:uiPriority w:val="30"/>
    <w:qFormat/>
    <w:rPr>
      <w:i/>
    </w:rPr>
  </w:style>
  <w:style w:type="character" w:styleId="1006" w:customStyle="1">
    <w:name w:val="页眉 Char1"/>
    <w:link w:val="920"/>
    <w:uiPriority w:val="99"/>
    <w:qFormat/>
  </w:style>
  <w:style w:type="character" w:styleId="1007" w:customStyle="1">
    <w:name w:val="页脚 Char1"/>
    <w:link w:val="919"/>
    <w:uiPriority w:val="99"/>
    <w:qFormat/>
  </w:style>
  <w:style w:type="character" w:styleId="1008" w:customStyle="1">
    <w:name w:val="脚注文本 Char1"/>
    <w:link w:val="924"/>
    <w:uiPriority w:val="99"/>
    <w:qFormat/>
    <w:rPr>
      <w:sz w:val="18"/>
    </w:rPr>
  </w:style>
  <w:style w:type="character" w:styleId="1009" w:customStyle="1">
    <w:name w:val="尾注文本 Char1"/>
    <w:link w:val="917"/>
    <w:uiPriority w:val="99"/>
    <w:qFormat/>
    <w:rPr>
      <w:sz w:val="20"/>
    </w:rPr>
  </w:style>
  <w:style w:type="paragraph" w:styleId="1010" w:customStyle="1">
    <w:name w:val="TOC 标题111"/>
    <w:uiPriority w:val="39"/>
    <w:unhideWhenUsed/>
    <w:qFormat/>
    <w:rPr>
      <w:rFonts w:ascii="Times New Roman" w:hAnsi="Times New Roman" w:eastAsia="宋体" w:cs="Times New Roman"/>
      <w:lang w:val="en-US" w:eastAsia="zh-CN" w:bidi="ar-SA"/>
    </w:rPr>
  </w:style>
  <w:style w:type="paragraph" w:styleId="1011" w:customStyle="1">
    <w:name w:val="标题 111"/>
    <w:basedOn w:val="889"/>
    <w:next w:val="889"/>
    <w:link w:val="1031"/>
    <w:uiPriority w:val="9"/>
    <w:qFormat/>
    <w:pPr>
      <w:keepLines/>
      <w:keepNext/>
      <w:spacing w:before="480" w:after="200"/>
      <w:outlineLvl w:val="0"/>
    </w:pPr>
    <w:rPr>
      <w:rFonts w:ascii="Arial" w:hAnsi="Arial" w:eastAsia="Arial" w:cs="Arial"/>
      <w:sz w:val="40"/>
      <w:szCs w:val="40"/>
    </w:rPr>
  </w:style>
  <w:style w:type="paragraph" w:styleId="1012" w:customStyle="1">
    <w:name w:val="标题 211"/>
    <w:basedOn w:val="889"/>
    <w:next w:val="889"/>
    <w:link w:val="1032"/>
    <w:uiPriority w:val="9"/>
    <w:qFormat/>
    <w:pPr>
      <w:keepLines/>
      <w:keepNext/>
      <w:spacing w:before="360" w:after="200"/>
      <w:outlineLvl w:val="1"/>
    </w:pPr>
    <w:rPr>
      <w:rFonts w:ascii="Arial" w:hAnsi="Arial" w:eastAsia="Arial" w:cs="Arial"/>
      <w:sz w:val="34"/>
    </w:rPr>
  </w:style>
  <w:style w:type="paragraph" w:styleId="1013" w:customStyle="1">
    <w:name w:val="标题 311"/>
    <w:basedOn w:val="889"/>
    <w:next w:val="889"/>
    <w:link w:val="1033"/>
    <w:uiPriority w:val="9"/>
    <w:qFormat/>
    <w:pPr>
      <w:keepLines/>
      <w:keepNext/>
      <w:spacing w:before="320" w:after="200"/>
      <w:outlineLvl w:val="2"/>
    </w:pPr>
    <w:rPr>
      <w:rFonts w:ascii="Arial" w:hAnsi="Arial" w:eastAsia="Arial" w:cs="Arial"/>
      <w:sz w:val="30"/>
      <w:szCs w:val="30"/>
    </w:rPr>
  </w:style>
  <w:style w:type="paragraph" w:styleId="1014" w:customStyle="1">
    <w:name w:val="标题 51"/>
    <w:basedOn w:val="889"/>
    <w:next w:val="889"/>
    <w:link w:val="1035"/>
    <w:uiPriority w:val="9"/>
    <w:qFormat/>
    <w:pPr>
      <w:keepLines/>
      <w:keepNext/>
      <w:spacing w:before="320" w:after="200"/>
      <w:outlineLvl w:val="4"/>
    </w:pPr>
    <w:rPr>
      <w:rFonts w:ascii="Arial" w:hAnsi="Arial" w:eastAsia="Arial" w:cs="Arial"/>
      <w:b/>
      <w:bCs/>
      <w:sz w:val="24"/>
    </w:rPr>
  </w:style>
  <w:style w:type="paragraph" w:styleId="1015" w:customStyle="1">
    <w:name w:val="标题 61"/>
    <w:basedOn w:val="889"/>
    <w:next w:val="889"/>
    <w:link w:val="1037"/>
    <w:uiPriority w:val="9"/>
    <w:qFormat/>
    <w:pPr>
      <w:keepLines/>
      <w:keepNext/>
      <w:spacing w:before="320" w:after="200"/>
      <w:outlineLvl w:val="5"/>
    </w:pPr>
    <w:rPr>
      <w:rFonts w:ascii="Arial" w:hAnsi="Arial" w:eastAsia="Arial" w:cs="Arial"/>
      <w:b/>
      <w:bCs/>
      <w:sz w:val="22"/>
      <w:szCs w:val="22"/>
    </w:rPr>
  </w:style>
  <w:style w:type="paragraph" w:styleId="1016" w:customStyle="1">
    <w:name w:val="标题 71"/>
    <w:basedOn w:val="889"/>
    <w:next w:val="889"/>
    <w:link w:val="1038"/>
    <w:uiPriority w:val="9"/>
    <w:qFormat/>
    <w:pPr>
      <w:keepLines/>
      <w:keepNext/>
      <w:spacing w:before="320" w:after="200"/>
      <w:outlineLvl w:val="6"/>
    </w:pPr>
    <w:rPr>
      <w:rFonts w:ascii="Arial" w:hAnsi="Arial" w:eastAsia="Arial" w:cs="Arial"/>
      <w:b/>
      <w:bCs/>
      <w:i/>
      <w:iCs/>
      <w:sz w:val="22"/>
      <w:szCs w:val="22"/>
    </w:rPr>
  </w:style>
  <w:style w:type="paragraph" w:styleId="1017" w:customStyle="1">
    <w:name w:val="标题 81"/>
    <w:basedOn w:val="889"/>
    <w:next w:val="889"/>
    <w:link w:val="1039"/>
    <w:uiPriority w:val="9"/>
    <w:qFormat/>
    <w:pPr>
      <w:keepLines/>
      <w:keepNext/>
      <w:spacing w:before="320" w:after="200"/>
      <w:outlineLvl w:val="7"/>
    </w:pPr>
    <w:rPr>
      <w:rFonts w:ascii="Arial" w:hAnsi="Arial" w:eastAsia="Arial" w:cs="Arial"/>
      <w:i/>
      <w:iCs/>
      <w:sz w:val="22"/>
      <w:szCs w:val="22"/>
    </w:rPr>
  </w:style>
  <w:style w:type="paragraph" w:styleId="1018" w:customStyle="1">
    <w:name w:val="标题 91"/>
    <w:basedOn w:val="889"/>
    <w:next w:val="889"/>
    <w:link w:val="1040"/>
    <w:uiPriority w:val="9"/>
    <w:qFormat/>
    <w:pPr>
      <w:keepLines/>
      <w:keepNext/>
      <w:spacing w:before="320" w:after="200"/>
      <w:outlineLvl w:val="8"/>
    </w:pPr>
    <w:rPr>
      <w:rFonts w:ascii="Arial" w:hAnsi="Arial" w:eastAsia="Arial" w:cs="Arial"/>
      <w:i/>
      <w:iCs/>
      <w:szCs w:val="21"/>
    </w:rPr>
  </w:style>
  <w:style w:type="character" w:styleId="1019" w:customStyle="1">
    <w:name w:val="默认段落字体11"/>
    <w:uiPriority w:val="1"/>
    <w:unhideWhenUsed/>
    <w:qFormat/>
  </w:style>
  <w:style w:type="table" w:styleId="1020" w:customStyle="1">
    <w:name w:val="普通表格11"/>
    <w:uiPriority w:val="99"/>
    <w:unhideWhenUsed/>
    <w:qFormat/>
    <w:tblPr>
      <w:tblCellMar>
        <w:left w:w="0" w:type="dxa"/>
        <w:top w:w="0" w:type="dxa"/>
        <w:right w:w="0" w:type="dxa"/>
        <w:bottom w:w="0" w:type="dxa"/>
      </w:tblCellMar>
    </w:tblPr>
  </w:style>
  <w:style w:type="character" w:styleId="1021" w:customStyle="1">
    <w:name w:val="超链接11"/>
    <w:uiPriority w:val="99"/>
    <w:unhideWhenUsed/>
    <w:qFormat/>
    <w:rPr>
      <w:color w:val="0000ff"/>
      <w:u w:val="single"/>
    </w:rPr>
  </w:style>
  <w:style w:type="character" w:styleId="1022" w:customStyle="1">
    <w:name w:val="脚注引用1"/>
    <w:uiPriority w:val="99"/>
    <w:unhideWhenUsed/>
    <w:qFormat/>
    <w:rPr>
      <w:vertAlign w:val="superscript"/>
    </w:rPr>
  </w:style>
  <w:style w:type="character" w:styleId="1023" w:customStyle="1">
    <w:name w:val="页码11"/>
    <w:uiPriority w:val="0"/>
    <w:qFormat/>
  </w:style>
  <w:style w:type="character" w:styleId="1024" w:customStyle="1">
    <w:name w:val="尾注引用1"/>
    <w:uiPriority w:val="99"/>
    <w:unhideWhenUsed/>
    <w:qFormat/>
    <w:rPr>
      <w:vertAlign w:val="superscript"/>
    </w:rPr>
  </w:style>
  <w:style w:type="character" w:styleId="1025" w:customStyle="1">
    <w:name w:val="批注框文本 Char"/>
    <w:link w:val="1026"/>
    <w:uiPriority w:val="0"/>
    <w:qFormat/>
    <w:rPr>
      <w:sz w:val="18"/>
      <w:szCs w:val="18"/>
    </w:rPr>
  </w:style>
  <w:style w:type="paragraph" w:styleId="1026" w:customStyle="1">
    <w:name w:val="批注框文本1"/>
    <w:basedOn w:val="889"/>
    <w:link w:val="1025"/>
    <w:uiPriority w:val="0"/>
    <w:qFormat/>
    <w:rPr>
      <w:sz w:val="18"/>
      <w:szCs w:val="18"/>
    </w:rPr>
  </w:style>
  <w:style w:type="character" w:styleId="1027" w:customStyle="1">
    <w:name w:val="标题 Char"/>
    <w:link w:val="1028"/>
    <w:uiPriority w:val="10"/>
    <w:qFormat/>
    <w:rPr>
      <w:sz w:val="48"/>
      <w:szCs w:val="48"/>
    </w:rPr>
  </w:style>
  <w:style w:type="paragraph" w:styleId="1028" w:customStyle="1">
    <w:name w:val="标题1"/>
    <w:basedOn w:val="983"/>
    <w:next w:val="974"/>
    <w:link w:val="1027"/>
    <w:uiPriority w:val="10"/>
    <w:qFormat/>
    <w:pPr>
      <w:contextualSpacing/>
      <w:spacing w:before="300" w:after="200"/>
    </w:pPr>
    <w:rPr>
      <w:sz w:val="48"/>
      <w:szCs w:val="48"/>
    </w:rPr>
  </w:style>
  <w:style w:type="paragraph" w:styleId="1029" w:customStyle="1">
    <w:name w:val="正文文本12"/>
    <w:basedOn w:val="974"/>
    <w:next w:val="1030"/>
    <w:uiPriority w:val="0"/>
    <w:qFormat/>
    <w:pPr>
      <w:spacing w:after="120"/>
    </w:pPr>
  </w:style>
  <w:style w:type="paragraph" w:styleId="1030" w:customStyle="1">
    <w:name w:val="标题 41"/>
    <w:basedOn w:val="1028"/>
    <w:next w:val="977"/>
    <w:uiPriority w:val="0"/>
    <w:qFormat/>
    <w:pPr>
      <w:keepLines/>
      <w:keepNext/>
      <w:spacing w:before="280" w:after="290" w:line="372" w:lineRule="auto"/>
      <w:outlineLvl w:val="3"/>
    </w:pPr>
    <w:rPr>
      <w:rFonts w:ascii="Cambria" w:hAnsi="Cambria"/>
      <w:b/>
      <w:bCs/>
      <w:sz w:val="28"/>
      <w:szCs w:val="28"/>
    </w:rPr>
  </w:style>
  <w:style w:type="character" w:styleId="1031" w:customStyle="1">
    <w:name w:val="标题 1 Char"/>
    <w:link w:val="1011"/>
    <w:uiPriority w:val="9"/>
    <w:qFormat/>
    <w:rPr>
      <w:rFonts w:ascii="Arial" w:hAnsi="Arial" w:eastAsia="Arial" w:cs="Arial"/>
      <w:sz w:val="40"/>
      <w:szCs w:val="40"/>
    </w:rPr>
  </w:style>
  <w:style w:type="character" w:styleId="1032" w:customStyle="1">
    <w:name w:val="标题 2 Char1"/>
    <w:link w:val="1012"/>
    <w:uiPriority w:val="9"/>
    <w:qFormat/>
    <w:rPr>
      <w:rFonts w:ascii="Arial" w:hAnsi="Arial" w:eastAsia="Arial" w:cs="Arial"/>
      <w:sz w:val="34"/>
    </w:rPr>
  </w:style>
  <w:style w:type="character" w:styleId="1033" w:customStyle="1">
    <w:name w:val="标题 3 Char"/>
    <w:link w:val="1013"/>
    <w:uiPriority w:val="9"/>
    <w:qFormat/>
    <w:rPr>
      <w:rFonts w:ascii="Arial" w:hAnsi="Arial" w:eastAsia="Arial" w:cs="Arial"/>
      <w:sz w:val="30"/>
      <w:szCs w:val="30"/>
    </w:rPr>
  </w:style>
  <w:style w:type="character" w:styleId="1034" w:customStyle="1">
    <w:name w:val="标题 4 Char"/>
    <w:link w:val="980"/>
    <w:uiPriority w:val="9"/>
    <w:qFormat/>
    <w:rPr>
      <w:rFonts w:ascii="Arial" w:hAnsi="Arial" w:eastAsia="Arial" w:cs="Arial"/>
      <w:b/>
      <w:bCs/>
      <w:sz w:val="26"/>
      <w:szCs w:val="26"/>
    </w:rPr>
  </w:style>
  <w:style w:type="character" w:styleId="1035" w:customStyle="1">
    <w:name w:val="标题 5 Char"/>
    <w:link w:val="1014"/>
    <w:uiPriority w:val="9"/>
    <w:qFormat/>
    <w:rPr>
      <w:rFonts w:ascii="Arial" w:hAnsi="Arial" w:eastAsia="Arial" w:cs="Arial"/>
      <w:b/>
      <w:bCs/>
      <w:sz w:val="24"/>
      <w:szCs w:val="24"/>
    </w:rPr>
  </w:style>
  <w:style w:type="character" w:styleId="1036" w:customStyle="1">
    <w:name w:val="NormalCharacter1"/>
    <w:uiPriority w:val="0"/>
    <w:semiHidden/>
    <w:qFormat/>
  </w:style>
  <w:style w:type="character" w:styleId="1037" w:customStyle="1">
    <w:name w:val="标题 6 Char"/>
    <w:link w:val="1015"/>
    <w:uiPriority w:val="9"/>
    <w:qFormat/>
    <w:rPr>
      <w:rFonts w:ascii="Arial" w:hAnsi="Arial" w:eastAsia="Arial" w:cs="Arial"/>
      <w:b/>
      <w:bCs/>
      <w:sz w:val="22"/>
      <w:szCs w:val="22"/>
    </w:rPr>
  </w:style>
  <w:style w:type="character" w:styleId="1038" w:customStyle="1">
    <w:name w:val="标题 7 Char"/>
    <w:link w:val="1016"/>
    <w:uiPriority w:val="9"/>
    <w:qFormat/>
    <w:rPr>
      <w:rFonts w:ascii="Arial" w:hAnsi="Arial" w:eastAsia="Arial" w:cs="Arial"/>
      <w:b/>
      <w:bCs/>
      <w:i/>
      <w:iCs/>
      <w:sz w:val="22"/>
      <w:szCs w:val="22"/>
    </w:rPr>
  </w:style>
  <w:style w:type="character" w:styleId="1039" w:customStyle="1">
    <w:name w:val="标题 8 Char"/>
    <w:link w:val="1017"/>
    <w:uiPriority w:val="9"/>
    <w:qFormat/>
    <w:rPr>
      <w:rFonts w:ascii="Arial" w:hAnsi="Arial" w:eastAsia="Arial" w:cs="Arial"/>
      <w:i/>
      <w:iCs/>
      <w:sz w:val="22"/>
      <w:szCs w:val="22"/>
    </w:rPr>
  </w:style>
  <w:style w:type="character" w:styleId="1040" w:customStyle="1">
    <w:name w:val="标题 9 Char"/>
    <w:link w:val="1018"/>
    <w:uiPriority w:val="9"/>
    <w:qFormat/>
    <w:rPr>
      <w:rFonts w:ascii="Arial" w:hAnsi="Arial" w:eastAsia="Arial" w:cs="Arial"/>
      <w:i/>
      <w:iCs/>
      <w:sz w:val="21"/>
      <w:szCs w:val="21"/>
    </w:rPr>
  </w:style>
  <w:style w:type="character" w:styleId="1041" w:customStyle="1">
    <w:name w:val="尾注文本 Char"/>
    <w:link w:val="1042"/>
    <w:uiPriority w:val="99"/>
    <w:qFormat/>
    <w:rPr>
      <w:sz w:val="20"/>
    </w:rPr>
  </w:style>
  <w:style w:type="paragraph" w:styleId="1042" w:customStyle="1">
    <w:name w:val="尾注文本1"/>
    <w:basedOn w:val="889"/>
    <w:link w:val="1041"/>
    <w:uiPriority w:val="99"/>
    <w:unhideWhenUsed/>
    <w:qFormat/>
    <w:rPr>
      <w:sz w:val="20"/>
    </w:rPr>
  </w:style>
  <w:style w:type="character" w:styleId="1043" w:customStyle="1">
    <w:name w:val="批注框文本 Char1"/>
    <w:link w:val="1044"/>
    <w:uiPriority w:val="99"/>
    <w:semiHidden/>
    <w:qFormat/>
    <w:rPr>
      <w:sz w:val="18"/>
      <w:szCs w:val="18"/>
    </w:rPr>
  </w:style>
  <w:style w:type="paragraph" w:styleId="1044" w:customStyle="1">
    <w:name w:val="批注框文本11"/>
    <w:basedOn w:val="889"/>
    <w:link w:val="1043"/>
    <w:uiPriority w:val="99"/>
    <w:unhideWhenUsed/>
    <w:qFormat/>
    <w:rPr>
      <w:sz w:val="18"/>
      <w:szCs w:val="18"/>
    </w:rPr>
  </w:style>
  <w:style w:type="character" w:styleId="1045" w:customStyle="1">
    <w:name w:val="页脚 Char"/>
    <w:link w:val="1046"/>
    <w:uiPriority w:val="99"/>
    <w:qFormat/>
  </w:style>
  <w:style w:type="paragraph" w:styleId="1046" w:customStyle="1">
    <w:name w:val="页脚11"/>
    <w:basedOn w:val="889"/>
    <w:link w:val="1045"/>
    <w:uiPriority w:val="99"/>
    <w:unhideWhenUsed/>
    <w:qFormat/>
    <w:pPr>
      <w:tabs>
        <w:tab w:val="center" w:pos="7143" w:leader="none"/>
        <w:tab w:val="right" w:pos="14287" w:leader="none"/>
      </w:tabs>
    </w:pPr>
  </w:style>
  <w:style w:type="character" w:styleId="1047" w:customStyle="1">
    <w:name w:val="页眉 Char"/>
    <w:link w:val="1048"/>
    <w:uiPriority w:val="99"/>
    <w:qFormat/>
  </w:style>
  <w:style w:type="paragraph" w:styleId="1048" w:customStyle="1">
    <w:name w:val="页眉11"/>
    <w:basedOn w:val="889"/>
    <w:link w:val="1047"/>
    <w:uiPriority w:val="99"/>
    <w:unhideWhenUsed/>
    <w:qFormat/>
    <w:pPr>
      <w:tabs>
        <w:tab w:val="center" w:pos="7143" w:leader="none"/>
        <w:tab w:val="right" w:pos="14287" w:leader="none"/>
      </w:tabs>
    </w:pPr>
  </w:style>
  <w:style w:type="character" w:styleId="1049" w:customStyle="1">
    <w:name w:val="副标题 Char"/>
    <w:link w:val="1050"/>
    <w:uiPriority w:val="11"/>
    <w:qFormat/>
    <w:rPr>
      <w:sz w:val="24"/>
      <w:szCs w:val="24"/>
    </w:rPr>
  </w:style>
  <w:style w:type="paragraph" w:styleId="1050" w:customStyle="1">
    <w:name w:val="副标题1"/>
    <w:basedOn w:val="889"/>
    <w:next w:val="889"/>
    <w:link w:val="1049"/>
    <w:uiPriority w:val="11"/>
    <w:qFormat/>
    <w:pPr>
      <w:spacing w:before="200" w:after="200"/>
    </w:pPr>
    <w:rPr>
      <w:sz w:val="24"/>
    </w:rPr>
  </w:style>
  <w:style w:type="character" w:styleId="1051" w:customStyle="1">
    <w:name w:val="脚注文本 Char"/>
    <w:link w:val="981"/>
    <w:uiPriority w:val="99"/>
    <w:qFormat/>
    <w:rPr>
      <w:sz w:val="18"/>
    </w:rPr>
  </w:style>
  <w:style w:type="character" w:styleId="1052" w:customStyle="1">
    <w:name w:val="引用 Char"/>
    <w:link w:val="1053"/>
    <w:uiPriority w:val="29"/>
    <w:qFormat/>
    <w:rPr>
      <w:i/>
    </w:rPr>
  </w:style>
  <w:style w:type="paragraph" w:styleId="1053" w:customStyle="1">
    <w:name w:val="引用1"/>
    <w:basedOn w:val="889"/>
    <w:next w:val="889"/>
    <w:link w:val="1052"/>
    <w:uiPriority w:val="29"/>
    <w:qFormat/>
    <w:pPr>
      <w:ind w:left="720" w:right="720"/>
    </w:pPr>
    <w:rPr>
      <w:i/>
    </w:rPr>
  </w:style>
  <w:style w:type="character" w:styleId="1054" w:customStyle="1">
    <w:name w:val="正文文本缩进 Char"/>
    <w:link w:val="987"/>
    <w:uiPriority w:val="0"/>
    <w:qFormat/>
    <w:rPr>
      <w:sz w:val="21"/>
      <w:szCs w:val="24"/>
    </w:rPr>
  </w:style>
  <w:style w:type="character" w:styleId="1055" w:customStyle="1">
    <w:name w:val="默认段落字体1"/>
    <w:uiPriority w:val="0"/>
    <w:semiHidden/>
    <w:qFormat/>
  </w:style>
  <w:style w:type="character" w:styleId="1056" w:customStyle="1">
    <w:name w:val="NormalCharacter11"/>
    <w:uiPriority w:val="0"/>
    <w:semiHidden/>
    <w:qFormat/>
    <w:rPr>
      <w:sz w:val="21"/>
      <w:szCs w:val="24"/>
      <w:lang w:val="en-US" w:eastAsia="zh-CN" w:bidi="ar-SA"/>
    </w:rPr>
  </w:style>
  <w:style w:type="character" w:styleId="1057" w:customStyle="1">
    <w:name w:val="明显引用 Char"/>
    <w:link w:val="1058"/>
    <w:uiPriority w:val="30"/>
    <w:qFormat/>
    <w:rPr>
      <w:i/>
    </w:rPr>
  </w:style>
  <w:style w:type="paragraph" w:styleId="1058" w:customStyle="1">
    <w:name w:val="明显引用1"/>
    <w:basedOn w:val="889"/>
    <w:next w:val="889"/>
    <w:link w:val="105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59" w:customStyle="1">
    <w:name w:val="Footer Char"/>
    <w:uiPriority w:val="99"/>
    <w:qFormat/>
  </w:style>
  <w:style w:type="character" w:styleId="1060" w:customStyle="1">
    <w:name w:val="font11"/>
    <w:uiPriority w:val="0"/>
    <w:qFormat/>
    <w:rPr>
      <w:rFonts w:hint="eastAsia" w:ascii="宋体" w:hAnsi="宋体" w:eastAsia="宋体" w:cs="宋体"/>
      <w:b/>
      <w:color w:val="000000"/>
      <w:sz w:val="32"/>
      <w:szCs w:val="32"/>
      <w:u w:val="none"/>
    </w:rPr>
  </w:style>
  <w:style w:type="character" w:styleId="1061" w:customStyle="1">
    <w:name w:val="纯文本 Char"/>
    <w:link w:val="1062"/>
    <w:uiPriority w:val="99"/>
    <w:qFormat/>
    <w:rPr>
      <w:rFonts w:ascii="宋体" w:hAnsi="Courier New" w:eastAsia="宋体"/>
      <w:sz w:val="21"/>
      <w:szCs w:val="21"/>
      <w:lang w:bidi="ar-SA"/>
    </w:rPr>
  </w:style>
  <w:style w:type="paragraph" w:styleId="1062" w:customStyle="1">
    <w:name w:val="纯文本1"/>
    <w:basedOn w:val="889"/>
    <w:link w:val="1061"/>
    <w:uiPriority w:val="0"/>
    <w:qFormat/>
    <w:rPr>
      <w:rFonts w:ascii="宋体" w:hAnsi="Courier New"/>
      <w:szCs w:val="21"/>
    </w:rPr>
  </w:style>
  <w:style w:type="character" w:styleId="1063" w:customStyle="1">
    <w:name w:val="普通(网站) Char"/>
    <w:link w:val="1064"/>
    <w:uiPriority w:val="99"/>
    <w:qFormat/>
    <w:rPr>
      <w:rFonts w:ascii="宋体" w:hAnsi="宋体" w:cs="宋体"/>
      <w:sz w:val="24"/>
      <w:szCs w:val="24"/>
    </w:rPr>
  </w:style>
  <w:style w:type="paragraph" w:styleId="1064" w:customStyle="1">
    <w:name w:val="普通(网站)1"/>
    <w:basedOn w:val="889"/>
    <w:link w:val="1063"/>
    <w:uiPriority w:val="99"/>
    <w:qFormat/>
    <w:pPr>
      <w:jc w:val="left"/>
      <w:spacing w:before="100" w:beforeAutospacing="1" w:after="100" w:afterAutospacing="1"/>
      <w:widowControl/>
    </w:pPr>
    <w:rPr>
      <w:rFonts w:ascii="宋体" w:hAnsi="宋体" w:cs="宋体"/>
      <w:sz w:val="24"/>
    </w:rPr>
  </w:style>
  <w:style w:type="character" w:styleId="1065" w:customStyle="1">
    <w:name w:val="标题 2 Char"/>
    <w:link w:val="978"/>
    <w:uiPriority w:val="9"/>
    <w:qFormat/>
    <w:rPr>
      <w:rFonts w:ascii="Cambria" w:hAnsi="Cambria"/>
      <w:b/>
      <w:bCs/>
      <w:sz w:val="28"/>
      <w:szCs w:val="32"/>
    </w:rPr>
  </w:style>
  <w:style w:type="character" w:styleId="1066" w:customStyle="1">
    <w:name w:val="页码1"/>
    <w:uiPriority w:val="0"/>
    <w:qFormat/>
  </w:style>
  <w:style w:type="character" w:styleId="1067" w:customStyle="1">
    <w:name w:val="批注主题 Char"/>
    <w:link w:val="1068"/>
    <w:uiPriority w:val="0"/>
    <w:qFormat/>
    <w:rPr>
      <w:b/>
      <w:bCs/>
      <w:sz w:val="21"/>
      <w:szCs w:val="24"/>
    </w:rPr>
  </w:style>
  <w:style w:type="paragraph" w:styleId="1068" w:customStyle="1">
    <w:name w:val="批注主题1"/>
    <w:basedOn w:val="1069"/>
    <w:next w:val="1069"/>
    <w:link w:val="1067"/>
    <w:uiPriority w:val="0"/>
    <w:qFormat/>
    <w:rPr>
      <w:b/>
      <w:bCs/>
    </w:rPr>
  </w:style>
  <w:style w:type="paragraph" w:styleId="1069" w:customStyle="1">
    <w:name w:val="批注文字1"/>
    <w:basedOn w:val="889"/>
    <w:link w:val="1070"/>
    <w:uiPriority w:val="0"/>
    <w:qFormat/>
    <w:pPr>
      <w:jc w:val="left"/>
    </w:pPr>
  </w:style>
  <w:style w:type="character" w:styleId="1070" w:customStyle="1">
    <w:name w:val="批注文字 Char"/>
    <w:link w:val="1069"/>
    <w:uiPriority w:val="0"/>
    <w:qFormat/>
    <w:rPr>
      <w:sz w:val="21"/>
      <w:szCs w:val="24"/>
    </w:rPr>
  </w:style>
  <w:style w:type="character" w:styleId="1071" w:customStyle="1">
    <w:name w:val="超链接1"/>
    <w:link w:val="909"/>
    <w:uiPriority w:val="0"/>
    <w:qFormat/>
    <w:rPr>
      <w:rFonts w:ascii="Times New Roman" w:hAnsi="Times New Roman" w:eastAsia="宋体" w:cs="Times New Roman"/>
      <w:sz w:val="21"/>
      <w:szCs w:val="24"/>
      <w:lang w:val="en-US" w:eastAsia="zh-CN" w:bidi="ar-SA"/>
    </w:rPr>
  </w:style>
  <w:style w:type="character" w:styleId="1072" w:customStyle="1">
    <w:name w:val="批注引用1"/>
    <w:uiPriority w:val="0"/>
    <w:qFormat/>
    <w:rPr>
      <w:sz w:val="21"/>
      <w:szCs w:val="21"/>
    </w:rPr>
  </w:style>
  <w:style w:type="character" w:styleId="1073" w:customStyle="1">
    <w:name w:val="正文首行缩进 2 Char"/>
    <w:link w:val="986"/>
    <w:uiPriority w:val="0"/>
    <w:qFormat/>
    <w:rPr>
      <w:sz w:val="21"/>
      <w:szCs w:val="24"/>
    </w:rPr>
  </w:style>
  <w:style w:type="paragraph" w:styleId="1074" w:customStyle="1">
    <w:name w:val="表格3"/>
    <w:basedOn w:val="889"/>
    <w:uiPriority w:val="0"/>
    <w:qFormat/>
    <w:pPr>
      <w:jc w:val="center"/>
    </w:pPr>
  </w:style>
  <w:style w:type="paragraph" w:styleId="1075" w:customStyle="1">
    <w:name w:val="无间隔1"/>
    <w:uiPriority w:val="1"/>
    <w:qFormat/>
    <w:rPr>
      <w:rFonts w:ascii="Times New Roman" w:hAnsi="Times New Roman" w:eastAsia="宋体" w:cs="Times New Roman"/>
      <w:lang w:val="en-US" w:eastAsia="zh-CN" w:bidi="ar-SA"/>
    </w:rPr>
  </w:style>
  <w:style w:type="paragraph" w:styleId="1076" w:customStyle="1">
    <w:name w:val="目录 31"/>
    <w:basedOn w:val="889"/>
    <w:next w:val="889"/>
    <w:uiPriority w:val="39"/>
    <w:unhideWhenUsed/>
    <w:qFormat/>
    <w:pPr>
      <w:ind w:left="567"/>
      <w:spacing w:after="57"/>
    </w:pPr>
  </w:style>
  <w:style w:type="paragraph" w:styleId="1077" w:customStyle="1">
    <w:name w:val="图表目录1"/>
    <w:basedOn w:val="889"/>
    <w:next w:val="889"/>
    <w:uiPriority w:val="99"/>
    <w:unhideWhenUsed/>
    <w:qFormat/>
  </w:style>
  <w:style w:type="paragraph" w:styleId="1078" w:customStyle="1">
    <w:name w:val="Default"/>
    <w:uiPriority w:val="99"/>
    <w:unhideWhenUsed/>
    <w:qFormat/>
    <w:pPr>
      <w:widowControl w:val="off"/>
    </w:pPr>
    <w:rPr>
      <w:rFonts w:hint="eastAsia" w:ascii="宋体" w:hAnsi="宋体" w:eastAsia="宋体" w:cs="Times New Roman"/>
      <w:color w:val="000000"/>
      <w:sz w:val="24"/>
      <w:szCs w:val="22"/>
      <w:lang w:val="en-US" w:eastAsia="zh-CN" w:bidi="ar-SA"/>
    </w:rPr>
  </w:style>
  <w:style w:type="paragraph" w:styleId="1079" w:customStyle="1">
    <w:name w:val="列出段落1"/>
    <w:basedOn w:val="889"/>
    <w:uiPriority w:val="34"/>
    <w:qFormat/>
    <w:pPr>
      <w:ind w:firstLine="420"/>
    </w:pPr>
    <w:rPr>
      <w:rFonts w:ascii="Calibri" w:hAnsi="Calibri"/>
    </w:rPr>
  </w:style>
  <w:style w:type="paragraph" w:styleId="1080" w:customStyle="1">
    <w:name w:val="Blockquote"/>
    <w:basedOn w:val="889"/>
    <w:uiPriority w:val="0"/>
    <w:qFormat/>
    <w:pPr>
      <w:ind w:left="764" w:right="567"/>
      <w:jc w:val="left"/>
      <w:spacing w:before="100" w:after="100"/>
    </w:pPr>
    <w:rPr>
      <w:sz w:val="24"/>
    </w:rPr>
  </w:style>
  <w:style w:type="paragraph" w:styleId="1081" w:customStyle="1">
    <w:name w:val="_Style 2"/>
    <w:basedOn w:val="1082"/>
    <w:next w:val="889"/>
    <w:uiPriority w:val="0"/>
    <w:qFormat/>
    <w:pPr>
      <w:jc w:val="both"/>
      <w:spacing w:line="576" w:lineRule="auto"/>
      <w:outlineLvl w:val="9"/>
    </w:pPr>
  </w:style>
  <w:style w:type="paragraph" w:styleId="1082" w:customStyle="1">
    <w:name w:val="标题 11"/>
    <w:basedOn w:val="889"/>
    <w:next w:val="889"/>
    <w:uiPriority w:val="0"/>
    <w:qFormat/>
    <w:pPr>
      <w:jc w:val="center"/>
      <w:keepLines/>
      <w:keepNext/>
      <w:spacing w:before="340" w:after="330" w:line="578" w:lineRule="auto"/>
      <w:outlineLvl w:val="0"/>
    </w:pPr>
    <w:rPr>
      <w:b/>
      <w:bCs/>
      <w:sz w:val="44"/>
      <w:szCs w:val="44"/>
    </w:rPr>
  </w:style>
  <w:style w:type="paragraph" w:styleId="1083" w:customStyle="1">
    <w:name w:val="默认段落字体 Para Char Char Char Char Char Char Char"/>
    <w:basedOn w:val="889"/>
    <w:uiPriority w:val="0"/>
    <w:qFormat/>
    <w:rPr>
      <w:rFonts w:ascii="Tahoma" w:hAnsi="Tahoma"/>
      <w:sz w:val="24"/>
      <w:szCs w:val="20"/>
    </w:rPr>
  </w:style>
  <w:style w:type="paragraph" w:styleId="1084" w:customStyle="1">
    <w:name w:val="目录 91"/>
    <w:basedOn w:val="889"/>
    <w:next w:val="889"/>
    <w:uiPriority w:val="39"/>
    <w:unhideWhenUsed/>
    <w:qFormat/>
    <w:pPr>
      <w:ind w:left="2268"/>
      <w:spacing w:after="57"/>
    </w:pPr>
  </w:style>
  <w:style w:type="paragraph" w:styleId="1085" w:customStyle="1">
    <w:name w:val="正文文本缩进2"/>
    <w:basedOn w:val="889"/>
    <w:uiPriority w:val="0"/>
    <w:qFormat/>
    <w:pPr>
      <w:ind w:left="420"/>
      <w:spacing w:after="120"/>
    </w:pPr>
    <w:rPr>
      <w:rFonts w:ascii="Calibri" w:hAnsi="Calibri"/>
    </w:rPr>
  </w:style>
  <w:style w:type="paragraph" w:styleId="1086" w:customStyle="1">
    <w:name w:val="目录 21"/>
    <w:basedOn w:val="889"/>
    <w:next w:val="889"/>
    <w:uiPriority w:val="39"/>
    <w:unhideWhenUsed/>
    <w:qFormat/>
    <w:pPr>
      <w:ind w:left="283"/>
      <w:spacing w:after="57"/>
    </w:pPr>
  </w:style>
  <w:style w:type="paragraph" w:styleId="1087" w:customStyle="1">
    <w:name w:val="Char"/>
    <w:basedOn w:val="889"/>
    <w:uiPriority w:val="0"/>
    <w:qFormat/>
    <w:pPr>
      <w:tabs>
        <w:tab w:val="left" w:pos="360" w:leader="none"/>
      </w:tabs>
    </w:pPr>
    <w:rPr>
      <w:sz w:val="24"/>
    </w:rPr>
  </w:style>
  <w:style w:type="paragraph" w:styleId="1088" w:customStyle="1">
    <w:name w:val="正文文本111"/>
    <w:basedOn w:val="889"/>
    <w:next w:val="889"/>
    <w:uiPriority w:val="0"/>
    <w:qFormat/>
    <w:pPr>
      <w:spacing w:after="120"/>
    </w:pPr>
  </w:style>
  <w:style w:type="paragraph" w:styleId="1089" w:customStyle="1">
    <w:name w:val="列出段落2"/>
    <w:basedOn w:val="889"/>
    <w:uiPriority w:val="34"/>
    <w:qFormat/>
    <w:pPr>
      <w:contextualSpacing/>
      <w:ind w:left="720"/>
    </w:pPr>
  </w:style>
  <w:style w:type="paragraph" w:styleId="1090" w:customStyle="1">
    <w:name w:val="目录 81"/>
    <w:basedOn w:val="889"/>
    <w:next w:val="889"/>
    <w:uiPriority w:val="39"/>
    <w:unhideWhenUsed/>
    <w:qFormat/>
    <w:pPr>
      <w:ind w:left="1984"/>
      <w:spacing w:after="57"/>
    </w:pPr>
  </w:style>
  <w:style w:type="paragraph" w:styleId="1091" w:customStyle="1">
    <w:name w:val="页眉1"/>
    <w:basedOn w:val="889"/>
    <w:uiPriority w:val="0"/>
    <w:qFormat/>
    <w:pPr>
      <w:jc w:val="center"/>
      <w:tabs>
        <w:tab w:val="center" w:pos="4153" w:leader="none"/>
        <w:tab w:val="right" w:pos="8306" w:leader="none"/>
      </w:tabs>
      <w:pBdr>
        <w:bottom w:val="single" w:color="000000" w:sz="6" w:space="1"/>
      </w:pBdr>
    </w:pPr>
    <w:rPr>
      <w:sz w:val="18"/>
      <w:szCs w:val="18"/>
    </w:rPr>
  </w:style>
  <w:style w:type="paragraph" w:styleId="1092" w:customStyle="1">
    <w:name w:val="_Style 11"/>
    <w:uiPriority w:val="1"/>
    <w:qFormat/>
    <w:pPr>
      <w:jc w:val="both"/>
      <w:widowControl w:val="off"/>
    </w:pPr>
    <w:rPr>
      <w:rFonts w:ascii="宋体" w:hAnsi="宋体" w:eastAsia="宋体" w:cs="宋体"/>
      <w:sz w:val="21"/>
      <w:szCs w:val="22"/>
      <w:lang w:val="en-US" w:eastAsia="zh-CN" w:bidi="ar-SA"/>
    </w:rPr>
  </w:style>
  <w:style w:type="paragraph" w:styleId="1093" w:customStyle="1">
    <w:name w:val="正文_0"/>
    <w:uiPriority w:val="0"/>
    <w:qFormat/>
    <w:pPr>
      <w:jc w:val="both"/>
      <w:widowControl w:val="off"/>
    </w:pPr>
    <w:rPr>
      <w:rFonts w:ascii="Times New Roman" w:hAnsi="Times New Roman" w:eastAsia="宋体" w:cs="Times New Roman"/>
      <w:sz w:val="21"/>
      <w:szCs w:val="22"/>
      <w:lang w:val="en-US" w:eastAsia="zh-CN" w:bidi="ar-SA"/>
    </w:rPr>
  </w:style>
  <w:style w:type="paragraph" w:styleId="1094" w:customStyle="1">
    <w:name w:val="题注1"/>
    <w:basedOn w:val="889"/>
    <w:next w:val="889"/>
    <w:uiPriority w:val="35"/>
    <w:qFormat/>
    <w:pPr>
      <w:spacing w:line="276" w:lineRule="auto"/>
    </w:pPr>
    <w:rPr>
      <w:b/>
      <w:bCs/>
      <w:color w:val="4f81bd"/>
      <w:sz w:val="18"/>
      <w:szCs w:val="18"/>
    </w:rPr>
  </w:style>
  <w:style w:type="paragraph" w:styleId="1095" w:customStyle="1">
    <w:name w:val="目录 61"/>
    <w:basedOn w:val="889"/>
    <w:next w:val="889"/>
    <w:uiPriority w:val="39"/>
    <w:unhideWhenUsed/>
    <w:qFormat/>
    <w:pPr>
      <w:ind w:left="1417"/>
      <w:spacing w:after="57"/>
    </w:pPr>
  </w:style>
  <w:style w:type="paragraph" w:styleId="1096" w:customStyle="1">
    <w:name w:val="目录 51"/>
    <w:basedOn w:val="889"/>
    <w:next w:val="889"/>
    <w:uiPriority w:val="39"/>
    <w:unhideWhenUsed/>
    <w:qFormat/>
    <w:pPr>
      <w:ind w:left="1134"/>
      <w:spacing w:after="57"/>
    </w:pPr>
  </w:style>
  <w:style w:type="paragraph" w:styleId="1097" w:customStyle="1">
    <w:name w:val="目录 71"/>
    <w:basedOn w:val="889"/>
    <w:next w:val="889"/>
    <w:uiPriority w:val="39"/>
    <w:unhideWhenUsed/>
    <w:qFormat/>
    <w:pPr>
      <w:ind w:left="1701"/>
      <w:spacing w:after="57"/>
    </w:pPr>
  </w:style>
  <w:style w:type="paragraph" w:styleId="1098" w:customStyle="1">
    <w:name w:val="TOC 标题11"/>
    <w:uiPriority w:val="39"/>
    <w:unhideWhenUsed/>
    <w:qFormat/>
    <w:rPr>
      <w:rFonts w:ascii="Times New Roman" w:hAnsi="Times New Roman" w:eastAsia="宋体" w:cs="Times New Roman"/>
      <w:lang w:val="en-US" w:eastAsia="zh-CN" w:bidi="ar-SA"/>
    </w:rPr>
  </w:style>
  <w:style w:type="paragraph" w:styleId="1099" w:customStyle="1">
    <w:name w:val="标题 31"/>
    <w:basedOn w:val="889"/>
    <w:next w:val="889"/>
    <w:uiPriority w:val="0"/>
    <w:qFormat/>
    <w:pPr>
      <w:keepLines/>
      <w:keepNext/>
      <w:spacing w:before="260" w:after="260" w:line="416" w:lineRule="auto"/>
      <w:outlineLvl w:val="2"/>
    </w:pPr>
    <w:rPr>
      <w:b/>
      <w:bCs/>
      <w:sz w:val="32"/>
      <w:szCs w:val="32"/>
    </w:rPr>
  </w:style>
  <w:style w:type="paragraph" w:styleId="1100" w:customStyle="1">
    <w:name w:val="目录 41"/>
    <w:basedOn w:val="889"/>
    <w:next w:val="889"/>
    <w:uiPriority w:val="39"/>
    <w:unhideWhenUsed/>
    <w:qFormat/>
    <w:pPr>
      <w:ind w:left="850"/>
      <w:spacing w:after="57"/>
    </w:pPr>
  </w:style>
  <w:style w:type="paragraph" w:styleId="1101" w:customStyle="1">
    <w:name w:val="p0"/>
    <w:basedOn w:val="889"/>
    <w:uiPriority w:val="0"/>
    <w:qFormat/>
    <w:pPr>
      <w:widowControl/>
    </w:pPr>
    <w:rPr>
      <w:szCs w:val="21"/>
    </w:rPr>
  </w:style>
  <w:style w:type="paragraph" w:styleId="1102" w:customStyle="1">
    <w:name w:val="文本块{858D7CFB-ED40-4347-BF05-701D383B685F}{858D7CFB-ED40-4347-BF05-701D383B685F}"/>
    <w:basedOn w:val="889"/>
    <w:uiPriority w:val="0"/>
    <w:qFormat/>
    <w:pPr>
      <w:ind w:left="256" w:right="6" w:firstLine="200"/>
    </w:pPr>
    <w:rPr>
      <w:rFonts w:eastAsia="仿宋_GB2312"/>
      <w:sz w:val="28"/>
    </w:rPr>
  </w:style>
  <w:style w:type="paragraph" w:styleId="1103" w:customStyle="1">
    <w:name w:val="_HT_正文"/>
    <w:basedOn w:val="889"/>
    <w:uiPriority w:val="0"/>
    <w:qFormat/>
    <w:pPr>
      <w:ind w:firstLine="200"/>
      <w:spacing w:line="360" w:lineRule="auto"/>
    </w:pPr>
    <w:rPr>
      <w:sz w:val="24"/>
    </w:rPr>
  </w:style>
  <w:style w:type="paragraph" w:styleId="1104" w:customStyle="1">
    <w:name w:val="页脚1"/>
    <w:basedOn w:val="889"/>
    <w:uiPriority w:val="0"/>
    <w:qFormat/>
    <w:pPr>
      <w:jc w:val="left"/>
      <w:tabs>
        <w:tab w:val="center" w:pos="4153" w:leader="none"/>
        <w:tab w:val="right" w:pos="8306" w:leader="none"/>
      </w:tabs>
    </w:pPr>
    <w:rPr>
      <w:sz w:val="18"/>
      <w:szCs w:val="18"/>
    </w:rPr>
  </w:style>
  <w:style w:type="paragraph" w:styleId="1105" w:customStyle="1">
    <w:name w:val="彩色列表 - 强调文字颜色 11"/>
    <w:basedOn w:val="889"/>
    <w:uiPriority w:val="34"/>
    <w:qFormat/>
    <w:pPr>
      <w:ind w:firstLine="420"/>
    </w:pPr>
    <w:rPr>
      <w:rFonts w:ascii="Calibri" w:hAnsi="Calibri"/>
      <w:szCs w:val="22"/>
    </w:rPr>
  </w:style>
  <w:style w:type="paragraph" w:styleId="1106" w:customStyle="1">
    <w:name w:val="UserStyle_0"/>
    <w:next w:val="1107"/>
    <w:uiPriority w:val="0"/>
    <w:qFormat/>
    <w:pPr>
      <w:jc w:val="both"/>
    </w:pPr>
    <w:rPr>
      <w:rFonts w:ascii="Times New Roman" w:hAnsi="Times New Roman" w:eastAsia="宋体" w:cs="Times New Roman"/>
      <w:sz w:val="21"/>
      <w:szCs w:val="24"/>
      <w:lang w:val="en-US" w:eastAsia="zh-CN" w:bidi="ar-SA"/>
    </w:rPr>
  </w:style>
  <w:style w:type="paragraph" w:styleId="1107" w:customStyle="1">
    <w:name w:val="UserStyle_1"/>
    <w:basedOn w:val="1106"/>
    <w:next w:val="1108"/>
    <w:uiPriority w:val="0"/>
    <w:qFormat/>
    <w:pPr>
      <w:spacing w:after="120"/>
    </w:pPr>
    <w:rPr>
      <w:lang w:eastAsia="en-US"/>
    </w:rPr>
  </w:style>
  <w:style w:type="paragraph" w:styleId="1108" w:customStyle="1">
    <w:name w:val="UserStyle_3"/>
    <w:basedOn w:val="1109"/>
    <w:next w:val="1110"/>
    <w:uiPriority w:val="0"/>
    <w:qFormat/>
    <w:pPr>
      <w:ind w:left="907" w:hanging="907"/>
      <w:spacing w:before="0" w:after="0"/>
      <w:tabs>
        <w:tab w:val="left" w:pos="810" w:leader="none"/>
        <w:tab w:val="left" w:pos="907" w:leader="none"/>
        <w:tab w:val="left" w:pos="1265" w:leader="none"/>
      </w:tabs>
    </w:pPr>
    <w:rPr>
      <w:rFonts w:hAnsi="宋体"/>
      <w:sz w:val="20"/>
      <w:szCs w:val="20"/>
    </w:rPr>
  </w:style>
  <w:style w:type="paragraph" w:styleId="1109" w:customStyle="1">
    <w:name w:val="UserStyle_4"/>
    <w:next w:val="889"/>
    <w:uiPriority w:val="0"/>
    <w:qFormat/>
    <w:pPr>
      <w:ind w:left="810" w:hanging="810"/>
      <w:jc w:val="both"/>
      <w:spacing w:before="50" w:after="50"/>
      <w:tabs>
        <w:tab w:val="left" w:pos="810" w:leader="none"/>
        <w:tab w:val="left" w:pos="1265" w:leader="none"/>
      </w:tabs>
    </w:pPr>
    <w:rPr>
      <w:rFonts w:ascii="黑体" w:hAnsi="Times New Roman" w:eastAsia="黑体" w:cs="Times New Roman"/>
      <w:sz w:val="21"/>
      <w:szCs w:val="22"/>
      <w:lang w:val="en-US" w:eastAsia="zh-CN" w:bidi="ar-SA"/>
    </w:rPr>
  </w:style>
  <w:style w:type="paragraph" w:styleId="1110" w:customStyle="1">
    <w:name w:val="UserStyle_5"/>
    <w:basedOn w:val="889"/>
    <w:next w:val="889"/>
    <w:uiPriority w:val="0"/>
    <w:qFormat/>
    <w:pPr>
      <w:ind w:firstLine="200"/>
    </w:pPr>
    <w:rPr>
      <w:rFonts w:ascii="宋体"/>
      <w:szCs w:val="20"/>
    </w:rPr>
  </w:style>
  <w:style w:type="table" w:styleId="1111" w:customStyle="1">
    <w:name w:val="Grid Table 3 - Accent 2"/>
    <w:uiPriority w:val="99"/>
    <w:qFormat/>
    <w:tblPr>
      <w:tblCellMar>
        <w:left w:w="0" w:type="dxa"/>
        <w:top w:w="0" w:type="dxa"/>
        <w:right w:w="0" w:type="dxa"/>
        <w:bottom w:w="0" w:type="dxa"/>
      </w:tblCellMar>
    </w:tblPr>
  </w:style>
  <w:style w:type="table" w:styleId="1112" w:customStyle="1">
    <w:name w:val="List Table 4 - Accent 1"/>
    <w:uiPriority w:val="99"/>
    <w:qFormat/>
    <w:tblPr>
      <w:tblCellMar>
        <w:left w:w="0" w:type="dxa"/>
        <w:top w:w="0" w:type="dxa"/>
        <w:right w:w="0" w:type="dxa"/>
        <w:bottom w:w="0" w:type="dxa"/>
      </w:tblCellMar>
    </w:tblPr>
  </w:style>
  <w:style w:type="table" w:styleId="1113" w:customStyle="1">
    <w:name w:val="网格型11"/>
    <w:uiPriority w:val="59"/>
    <w:qFormat/>
    <w:tblPr>
      <w:tblCellMar>
        <w:left w:w="0" w:type="dxa"/>
        <w:top w:w="0" w:type="dxa"/>
        <w:right w:w="0" w:type="dxa"/>
        <w:bottom w:w="0" w:type="dxa"/>
      </w:tblCellMar>
    </w:tblPr>
  </w:style>
  <w:style w:type="table" w:styleId="1114" w:customStyle="1">
    <w:name w:val="网格表 31"/>
    <w:uiPriority w:val="99"/>
    <w:qFormat/>
    <w:tblPr>
      <w:tblCellMar>
        <w:left w:w="0" w:type="dxa"/>
        <w:top w:w="0" w:type="dxa"/>
        <w:right w:w="0" w:type="dxa"/>
        <w:bottom w:w="0" w:type="dxa"/>
      </w:tblCellMar>
    </w:tblPr>
  </w:style>
  <w:style w:type="table" w:styleId="1115" w:customStyle="1">
    <w:name w:val="Grid Table 4 - Accent 1"/>
    <w:uiPriority w:val="59"/>
    <w:qFormat/>
    <w:tblPr>
      <w:tblCellMar>
        <w:left w:w="0" w:type="dxa"/>
        <w:top w:w="0" w:type="dxa"/>
        <w:right w:w="0" w:type="dxa"/>
        <w:bottom w:w="0" w:type="dxa"/>
      </w:tblCellMar>
    </w:tblPr>
  </w:style>
  <w:style w:type="table" w:styleId="1116" w:customStyle="1">
    <w:name w:val="List Table 5 Dark - Accent 5"/>
    <w:uiPriority w:val="99"/>
    <w:qFormat/>
    <w:tblPr>
      <w:tblCellMar>
        <w:left w:w="0" w:type="dxa"/>
        <w:top w:w="0" w:type="dxa"/>
        <w:right w:w="0" w:type="dxa"/>
        <w:bottom w:w="0" w:type="dxa"/>
      </w:tblCellMar>
    </w:tblPr>
  </w:style>
  <w:style w:type="table" w:styleId="1117" w:customStyle="1">
    <w:name w:val="Grid Table 4 - Accent 6"/>
    <w:uiPriority w:val="59"/>
    <w:qFormat/>
    <w:tblPr>
      <w:tblCellMar>
        <w:left w:w="0" w:type="dxa"/>
        <w:top w:w="0" w:type="dxa"/>
        <w:right w:w="0" w:type="dxa"/>
        <w:bottom w:w="0" w:type="dxa"/>
      </w:tblCellMar>
    </w:tblPr>
  </w:style>
  <w:style w:type="table" w:styleId="1118" w:customStyle="1">
    <w:name w:val="Lined - Accent 1"/>
    <w:uiPriority w:val="99"/>
    <w:qFormat/>
    <w:rPr>
      <w:color w:val="404040"/>
    </w:rPr>
    <w:tblPr>
      <w:tblCellMar>
        <w:left w:w="0" w:type="dxa"/>
        <w:top w:w="0" w:type="dxa"/>
        <w:right w:w="0" w:type="dxa"/>
        <w:bottom w:w="0" w:type="dxa"/>
      </w:tblCellMar>
    </w:tblPr>
  </w:style>
  <w:style w:type="table" w:styleId="1119" w:customStyle="1">
    <w:name w:val="Bordered - Accent 1"/>
    <w:uiPriority w:val="99"/>
    <w:qFormat/>
    <w:tblPr>
      <w:tblCellMar>
        <w:left w:w="0" w:type="dxa"/>
        <w:top w:w="0" w:type="dxa"/>
        <w:right w:w="0" w:type="dxa"/>
        <w:bottom w:w="0" w:type="dxa"/>
      </w:tblCellMar>
    </w:tblPr>
  </w:style>
  <w:style w:type="table" w:styleId="1120" w:customStyle="1">
    <w:name w:val="List Table 2 - Accent 3"/>
    <w:uiPriority w:val="99"/>
    <w:qFormat/>
    <w:tblPr>
      <w:tblCellMar>
        <w:left w:w="0" w:type="dxa"/>
        <w:top w:w="0" w:type="dxa"/>
        <w:right w:w="0" w:type="dxa"/>
        <w:bottom w:w="0" w:type="dxa"/>
      </w:tblCellMar>
    </w:tblPr>
  </w:style>
  <w:style w:type="table" w:styleId="1121" w:customStyle="1">
    <w:name w:val="Grid Table 1 Light - Accent 6"/>
    <w:uiPriority w:val="99"/>
    <w:qFormat/>
    <w:tblPr>
      <w:tblCellMar>
        <w:left w:w="0" w:type="dxa"/>
        <w:top w:w="0" w:type="dxa"/>
        <w:right w:w="0" w:type="dxa"/>
        <w:bottom w:w="0" w:type="dxa"/>
      </w:tblCellMar>
    </w:tblPr>
  </w:style>
  <w:style w:type="table" w:styleId="1122" w:customStyle="1">
    <w:name w:val="无格式表格 51"/>
    <w:uiPriority w:val="99"/>
    <w:qFormat/>
    <w:tblPr>
      <w:tblCellMar>
        <w:left w:w="0" w:type="dxa"/>
        <w:top w:w="0" w:type="dxa"/>
        <w:right w:w="0" w:type="dxa"/>
        <w:bottom w:w="0" w:type="dxa"/>
      </w:tblCellMar>
    </w:tblPr>
  </w:style>
  <w:style w:type="table" w:styleId="1123" w:customStyle="1">
    <w:name w:val="Grid Table 3 - Accent 1"/>
    <w:uiPriority w:val="99"/>
    <w:qFormat/>
    <w:tblPr>
      <w:tblCellMar>
        <w:left w:w="0" w:type="dxa"/>
        <w:top w:w="0" w:type="dxa"/>
        <w:right w:w="0" w:type="dxa"/>
        <w:bottom w:w="0" w:type="dxa"/>
      </w:tblCellMar>
    </w:tblPr>
  </w:style>
  <w:style w:type="table" w:styleId="1124" w:customStyle="1">
    <w:name w:val="Grid Table 7 Colorful - Accent 4"/>
    <w:uiPriority w:val="99"/>
    <w:qFormat/>
    <w:tblPr>
      <w:tblCellMar>
        <w:left w:w="0" w:type="dxa"/>
        <w:top w:w="0" w:type="dxa"/>
        <w:right w:w="0" w:type="dxa"/>
        <w:bottom w:w="0" w:type="dxa"/>
      </w:tblCellMar>
    </w:tblPr>
  </w:style>
  <w:style w:type="table" w:styleId="1125" w:customStyle="1">
    <w:name w:val="Bordered - Accent 4"/>
    <w:uiPriority w:val="99"/>
    <w:qFormat/>
    <w:tblPr>
      <w:tblCellMar>
        <w:left w:w="0" w:type="dxa"/>
        <w:top w:w="0" w:type="dxa"/>
        <w:right w:w="0" w:type="dxa"/>
        <w:bottom w:w="0" w:type="dxa"/>
      </w:tblCellMar>
    </w:tblPr>
  </w:style>
  <w:style w:type="table" w:styleId="1126" w:customStyle="1">
    <w:name w:val="List Table 7 Colorful - Accent 6"/>
    <w:uiPriority w:val="99"/>
    <w:qFormat/>
    <w:tblPr>
      <w:tblCellMar>
        <w:left w:w="0" w:type="dxa"/>
        <w:top w:w="0" w:type="dxa"/>
        <w:right w:w="0" w:type="dxa"/>
        <w:bottom w:w="0" w:type="dxa"/>
      </w:tblCellMar>
    </w:tblPr>
  </w:style>
  <w:style w:type="table" w:styleId="1127" w:customStyle="1">
    <w:name w:val="List Table 2 - Accent 5"/>
    <w:uiPriority w:val="99"/>
    <w:qFormat/>
    <w:tblPr>
      <w:tblCellMar>
        <w:left w:w="0" w:type="dxa"/>
        <w:top w:w="0" w:type="dxa"/>
        <w:right w:w="0" w:type="dxa"/>
        <w:bottom w:w="0" w:type="dxa"/>
      </w:tblCellMar>
    </w:tblPr>
  </w:style>
  <w:style w:type="table" w:styleId="1128" w:customStyle="1">
    <w:name w:val="Lined - Accent 4"/>
    <w:uiPriority w:val="99"/>
    <w:qFormat/>
    <w:rPr>
      <w:color w:val="404040"/>
    </w:rPr>
    <w:tblPr>
      <w:tblCellMar>
        <w:left w:w="0" w:type="dxa"/>
        <w:top w:w="0" w:type="dxa"/>
        <w:right w:w="0" w:type="dxa"/>
        <w:bottom w:w="0" w:type="dxa"/>
      </w:tblCellMar>
    </w:tblPr>
  </w:style>
  <w:style w:type="table" w:styleId="1129" w:customStyle="1">
    <w:name w:val="List Table 3 - Accent 2"/>
    <w:uiPriority w:val="99"/>
    <w:qFormat/>
    <w:tblPr>
      <w:tblCellMar>
        <w:left w:w="0" w:type="dxa"/>
        <w:top w:w="0" w:type="dxa"/>
        <w:right w:w="0" w:type="dxa"/>
        <w:bottom w:w="0" w:type="dxa"/>
      </w:tblCellMar>
    </w:tblPr>
  </w:style>
  <w:style w:type="table" w:styleId="1130" w:customStyle="1">
    <w:name w:val="网格型1"/>
    <w:basedOn w:val="1131"/>
    <w:uiPriority w:val="0"/>
    <w:qFormat/>
    <w:tblPr>
      <w:tblCellMar>
        <w:left w:w="0" w:type="dxa"/>
        <w:top w:w="0" w:type="dxa"/>
        <w:right w:w="0" w:type="dxa"/>
        <w:bottom w:w="0" w:type="dxa"/>
      </w:tblCellMar>
    </w:tblPr>
  </w:style>
  <w:style w:type="table" w:styleId="1131" w:customStyle="1">
    <w:name w:val="普通表格1"/>
    <w:uiPriority w:val="0"/>
    <w:semiHidden/>
    <w:qFormat/>
    <w:tblPr>
      <w:tblCellMar>
        <w:left w:w="0" w:type="dxa"/>
        <w:top w:w="0" w:type="dxa"/>
        <w:right w:w="0" w:type="dxa"/>
        <w:bottom w:w="0" w:type="dxa"/>
      </w:tblCellMar>
    </w:tblPr>
  </w:style>
  <w:style w:type="table" w:styleId="1132" w:customStyle="1">
    <w:name w:val="Grid Table 6 Colorful - Accent 5"/>
    <w:uiPriority w:val="99"/>
    <w:qFormat/>
    <w:tblPr>
      <w:tblCellMar>
        <w:left w:w="0" w:type="dxa"/>
        <w:top w:w="0" w:type="dxa"/>
        <w:right w:w="0" w:type="dxa"/>
        <w:bottom w:w="0" w:type="dxa"/>
      </w:tblCellMar>
    </w:tblPr>
  </w:style>
  <w:style w:type="table" w:styleId="1133" w:customStyle="1">
    <w:name w:val="Grid Table 2 - Accent 6"/>
    <w:uiPriority w:val="99"/>
    <w:qFormat/>
    <w:tblPr>
      <w:tblCellMar>
        <w:left w:w="0" w:type="dxa"/>
        <w:top w:w="0" w:type="dxa"/>
        <w:right w:w="0" w:type="dxa"/>
        <w:bottom w:w="0" w:type="dxa"/>
      </w:tblCellMar>
    </w:tblPr>
  </w:style>
  <w:style w:type="table" w:styleId="1134" w:customStyle="1">
    <w:name w:val="网格表 5 深色1"/>
    <w:uiPriority w:val="99"/>
    <w:qFormat/>
    <w:tblPr>
      <w:tblCellMar>
        <w:left w:w="0" w:type="dxa"/>
        <w:top w:w="0" w:type="dxa"/>
        <w:right w:w="0" w:type="dxa"/>
        <w:bottom w:w="0" w:type="dxa"/>
      </w:tblCellMar>
    </w:tblPr>
  </w:style>
  <w:style w:type="table" w:styleId="1135" w:customStyle="1">
    <w:name w:val="Grid Table 6 Colorful - Accent 2"/>
    <w:uiPriority w:val="99"/>
    <w:qFormat/>
    <w:tblPr>
      <w:tblCellMar>
        <w:left w:w="0" w:type="dxa"/>
        <w:top w:w="0" w:type="dxa"/>
        <w:right w:w="0" w:type="dxa"/>
        <w:bottom w:w="0" w:type="dxa"/>
      </w:tblCellMar>
    </w:tblPr>
  </w:style>
  <w:style w:type="table" w:styleId="1136" w:customStyle="1">
    <w:name w:val="Grid Table 2 - Accent 3"/>
    <w:uiPriority w:val="99"/>
    <w:qFormat/>
    <w:tblPr>
      <w:tblCellMar>
        <w:left w:w="0" w:type="dxa"/>
        <w:top w:w="0" w:type="dxa"/>
        <w:right w:w="0" w:type="dxa"/>
        <w:bottom w:w="0" w:type="dxa"/>
      </w:tblCellMar>
    </w:tblPr>
  </w:style>
  <w:style w:type="table" w:styleId="1137" w:customStyle="1">
    <w:name w:val="Grid Table 3 - Accent 6"/>
    <w:uiPriority w:val="99"/>
    <w:qFormat/>
    <w:tblPr>
      <w:tblCellMar>
        <w:left w:w="0" w:type="dxa"/>
        <w:top w:w="0" w:type="dxa"/>
        <w:right w:w="0" w:type="dxa"/>
        <w:bottom w:w="0" w:type="dxa"/>
      </w:tblCellMar>
    </w:tblPr>
  </w:style>
  <w:style w:type="table" w:styleId="1138" w:customStyle="1">
    <w:name w:val="Grid Table 5 Dark - Accent 5"/>
    <w:uiPriority w:val="99"/>
    <w:qFormat/>
    <w:tblPr>
      <w:tblCellMar>
        <w:left w:w="0" w:type="dxa"/>
        <w:top w:w="0" w:type="dxa"/>
        <w:right w:w="0" w:type="dxa"/>
        <w:bottom w:w="0" w:type="dxa"/>
      </w:tblCellMar>
    </w:tblPr>
  </w:style>
  <w:style w:type="table" w:styleId="1139" w:customStyle="1">
    <w:name w:val="List Table 1 Light - Accent 2"/>
    <w:uiPriority w:val="99"/>
    <w:qFormat/>
    <w:tblPr>
      <w:tblCellMar>
        <w:left w:w="0" w:type="dxa"/>
        <w:top w:w="0" w:type="dxa"/>
        <w:right w:w="0" w:type="dxa"/>
        <w:bottom w:w="0" w:type="dxa"/>
      </w:tblCellMar>
    </w:tblPr>
  </w:style>
  <w:style w:type="table" w:styleId="1140" w:customStyle="1">
    <w:name w:val="List Table 2 - Accent 1"/>
    <w:uiPriority w:val="99"/>
    <w:qFormat/>
    <w:tblPr>
      <w:tblCellMar>
        <w:left w:w="0" w:type="dxa"/>
        <w:top w:w="0" w:type="dxa"/>
        <w:right w:w="0" w:type="dxa"/>
        <w:bottom w:w="0" w:type="dxa"/>
      </w:tblCellMar>
    </w:tblPr>
  </w:style>
  <w:style w:type="table" w:styleId="1141" w:customStyle="1">
    <w:name w:val="List Table 1 Light - Accent 3"/>
    <w:uiPriority w:val="99"/>
    <w:qFormat/>
    <w:tblPr>
      <w:tblCellMar>
        <w:left w:w="0" w:type="dxa"/>
        <w:top w:w="0" w:type="dxa"/>
        <w:right w:w="0" w:type="dxa"/>
        <w:bottom w:w="0" w:type="dxa"/>
      </w:tblCellMar>
    </w:tblPr>
  </w:style>
  <w:style w:type="table" w:styleId="1142" w:customStyle="1">
    <w:name w:val="List Table 6 Colorful - Accent 2"/>
    <w:uiPriority w:val="99"/>
    <w:qFormat/>
    <w:tblPr>
      <w:tblCellMar>
        <w:left w:w="0" w:type="dxa"/>
        <w:top w:w="0" w:type="dxa"/>
        <w:right w:w="0" w:type="dxa"/>
        <w:bottom w:w="0" w:type="dxa"/>
      </w:tblCellMar>
    </w:tblPr>
  </w:style>
  <w:style w:type="table" w:styleId="1143" w:customStyle="1">
    <w:name w:val="清单表 7 彩色1"/>
    <w:uiPriority w:val="99"/>
    <w:qFormat/>
    <w:tblPr>
      <w:tblCellMar>
        <w:left w:w="0" w:type="dxa"/>
        <w:top w:w="0" w:type="dxa"/>
        <w:right w:w="0" w:type="dxa"/>
        <w:bottom w:w="0" w:type="dxa"/>
      </w:tblCellMar>
    </w:tblPr>
  </w:style>
  <w:style w:type="table" w:styleId="1144" w:customStyle="1">
    <w:name w:val="Grid Table 3 - Accent 5"/>
    <w:uiPriority w:val="99"/>
    <w:qFormat/>
    <w:tblPr>
      <w:tblCellMar>
        <w:left w:w="0" w:type="dxa"/>
        <w:top w:w="0" w:type="dxa"/>
        <w:right w:w="0" w:type="dxa"/>
        <w:bottom w:w="0" w:type="dxa"/>
      </w:tblCellMar>
    </w:tblPr>
  </w:style>
  <w:style w:type="table" w:styleId="1145" w:customStyle="1">
    <w:name w:val="List Table 5 Dark - Accent 6"/>
    <w:uiPriority w:val="99"/>
    <w:qFormat/>
    <w:tblPr>
      <w:tblCellMar>
        <w:left w:w="0" w:type="dxa"/>
        <w:top w:w="0" w:type="dxa"/>
        <w:right w:w="0" w:type="dxa"/>
        <w:bottom w:w="0" w:type="dxa"/>
      </w:tblCellMar>
    </w:tblPr>
  </w:style>
  <w:style w:type="table" w:styleId="1146" w:customStyle="1">
    <w:name w:val="清单表 21"/>
    <w:uiPriority w:val="99"/>
    <w:qFormat/>
    <w:tblPr>
      <w:tblCellMar>
        <w:left w:w="0" w:type="dxa"/>
        <w:top w:w="0" w:type="dxa"/>
        <w:right w:w="0" w:type="dxa"/>
        <w:bottom w:w="0" w:type="dxa"/>
      </w:tblCellMar>
    </w:tblPr>
  </w:style>
  <w:style w:type="table" w:styleId="1147" w:customStyle="1">
    <w:name w:val="Table Grid Light"/>
    <w:uiPriority w:val="59"/>
    <w:qFormat/>
    <w:tblPr>
      <w:tblCellMar>
        <w:left w:w="0" w:type="dxa"/>
        <w:top w:w="0" w:type="dxa"/>
        <w:right w:w="0" w:type="dxa"/>
        <w:bottom w:w="0" w:type="dxa"/>
      </w:tblCellMar>
    </w:tblPr>
  </w:style>
  <w:style w:type="table" w:styleId="1148" w:customStyle="1">
    <w:name w:val="Lined - Accent 6"/>
    <w:uiPriority w:val="99"/>
    <w:qFormat/>
    <w:rPr>
      <w:color w:val="404040"/>
    </w:rPr>
    <w:tblPr>
      <w:tblCellMar>
        <w:left w:w="0" w:type="dxa"/>
        <w:top w:w="0" w:type="dxa"/>
        <w:right w:w="0" w:type="dxa"/>
        <w:bottom w:w="0" w:type="dxa"/>
      </w:tblCellMar>
    </w:tblPr>
  </w:style>
  <w:style w:type="table" w:styleId="1149" w:customStyle="1">
    <w:name w:val="List Table 1 Light - Accent 6"/>
    <w:uiPriority w:val="99"/>
    <w:qFormat/>
    <w:tblPr>
      <w:tblCellMar>
        <w:left w:w="0" w:type="dxa"/>
        <w:top w:w="0" w:type="dxa"/>
        <w:right w:w="0" w:type="dxa"/>
        <w:bottom w:w="0" w:type="dxa"/>
      </w:tblCellMar>
    </w:tblPr>
  </w:style>
  <w:style w:type="table" w:styleId="1150" w:customStyle="1">
    <w:name w:val="List Table 7 Colorful - Accent 1"/>
    <w:uiPriority w:val="99"/>
    <w:qFormat/>
    <w:tblPr>
      <w:tblCellMar>
        <w:left w:w="0" w:type="dxa"/>
        <w:top w:w="0" w:type="dxa"/>
        <w:right w:w="0" w:type="dxa"/>
        <w:bottom w:w="0" w:type="dxa"/>
      </w:tblCellMar>
    </w:tblPr>
  </w:style>
  <w:style w:type="table" w:styleId="1151" w:customStyle="1">
    <w:name w:val="Lined - Accent"/>
    <w:uiPriority w:val="99"/>
    <w:qFormat/>
    <w:rPr>
      <w:color w:val="404040"/>
    </w:rPr>
    <w:tblPr>
      <w:tblCellMar>
        <w:left w:w="0" w:type="dxa"/>
        <w:top w:w="0" w:type="dxa"/>
        <w:right w:w="0" w:type="dxa"/>
        <w:bottom w:w="0" w:type="dxa"/>
      </w:tblCellMar>
    </w:tblPr>
  </w:style>
  <w:style w:type="table" w:styleId="1152" w:customStyle="1">
    <w:name w:val="网格表 41"/>
    <w:uiPriority w:val="59"/>
    <w:qFormat/>
    <w:tblPr>
      <w:tblCellMar>
        <w:left w:w="0" w:type="dxa"/>
        <w:top w:w="0" w:type="dxa"/>
        <w:right w:w="0" w:type="dxa"/>
        <w:bottom w:w="0" w:type="dxa"/>
      </w:tblCellMar>
    </w:tblPr>
  </w:style>
  <w:style w:type="table" w:styleId="1153" w:customStyle="1">
    <w:name w:val="Grid Table 2 - Accent 1"/>
    <w:uiPriority w:val="99"/>
    <w:qFormat/>
    <w:tblPr>
      <w:tblCellMar>
        <w:left w:w="0" w:type="dxa"/>
        <w:top w:w="0" w:type="dxa"/>
        <w:right w:w="0" w:type="dxa"/>
        <w:bottom w:w="0" w:type="dxa"/>
      </w:tblCellMar>
    </w:tblPr>
  </w:style>
  <w:style w:type="table" w:styleId="1154" w:customStyle="1">
    <w:name w:val="List Table 6 Colorful - Accent 4"/>
    <w:uiPriority w:val="99"/>
    <w:qFormat/>
    <w:tblPr>
      <w:tblCellMar>
        <w:left w:w="0" w:type="dxa"/>
        <w:top w:w="0" w:type="dxa"/>
        <w:right w:w="0" w:type="dxa"/>
        <w:bottom w:w="0" w:type="dxa"/>
      </w:tblCellMar>
    </w:tblPr>
  </w:style>
  <w:style w:type="table" w:styleId="1155" w:customStyle="1">
    <w:name w:val="List Table 2 - Accent 6"/>
    <w:uiPriority w:val="99"/>
    <w:qFormat/>
    <w:tblPr>
      <w:tblCellMar>
        <w:left w:w="0" w:type="dxa"/>
        <w:top w:w="0" w:type="dxa"/>
        <w:right w:w="0" w:type="dxa"/>
        <w:bottom w:w="0" w:type="dxa"/>
      </w:tblCellMar>
    </w:tblPr>
  </w:style>
  <w:style w:type="table" w:styleId="1156" w:customStyle="1">
    <w:name w:val="Grid Table 1 Light - Accent 3"/>
    <w:uiPriority w:val="99"/>
    <w:qFormat/>
    <w:tblPr>
      <w:tblCellMar>
        <w:left w:w="0" w:type="dxa"/>
        <w:top w:w="0" w:type="dxa"/>
        <w:right w:w="0" w:type="dxa"/>
        <w:bottom w:w="0" w:type="dxa"/>
      </w:tblCellMar>
    </w:tblPr>
  </w:style>
  <w:style w:type="table" w:styleId="1157" w:customStyle="1">
    <w:name w:val="List Table 5 Dark - Accent 2"/>
    <w:uiPriority w:val="99"/>
    <w:qFormat/>
    <w:tblPr>
      <w:tblCellMar>
        <w:left w:w="0" w:type="dxa"/>
        <w:top w:w="0" w:type="dxa"/>
        <w:right w:w="0" w:type="dxa"/>
        <w:bottom w:w="0" w:type="dxa"/>
      </w:tblCellMar>
    </w:tblPr>
  </w:style>
  <w:style w:type="table" w:styleId="1158" w:customStyle="1">
    <w:name w:val="List Table 2 - Accent 2"/>
    <w:uiPriority w:val="99"/>
    <w:qFormat/>
    <w:tblPr>
      <w:tblCellMar>
        <w:left w:w="0" w:type="dxa"/>
        <w:top w:w="0" w:type="dxa"/>
        <w:right w:w="0" w:type="dxa"/>
        <w:bottom w:w="0" w:type="dxa"/>
      </w:tblCellMar>
    </w:tblPr>
  </w:style>
  <w:style w:type="table" w:styleId="1159" w:customStyle="1">
    <w:name w:val="Grid Table 4 - Accent 4"/>
    <w:uiPriority w:val="59"/>
    <w:qFormat/>
    <w:tblPr>
      <w:tblCellMar>
        <w:left w:w="0" w:type="dxa"/>
        <w:top w:w="0" w:type="dxa"/>
        <w:right w:w="0" w:type="dxa"/>
        <w:bottom w:w="0" w:type="dxa"/>
      </w:tblCellMar>
    </w:tblPr>
  </w:style>
  <w:style w:type="table" w:styleId="1160" w:customStyle="1">
    <w:name w:val="List Table 1 Light - Accent 1"/>
    <w:uiPriority w:val="99"/>
    <w:qFormat/>
    <w:tblPr>
      <w:tblCellMar>
        <w:left w:w="0" w:type="dxa"/>
        <w:top w:w="0" w:type="dxa"/>
        <w:right w:w="0" w:type="dxa"/>
        <w:bottom w:w="0" w:type="dxa"/>
      </w:tblCellMar>
    </w:tblPr>
  </w:style>
  <w:style w:type="table" w:styleId="1161" w:customStyle="1">
    <w:name w:val="List Table 4 - Accent 5"/>
    <w:uiPriority w:val="99"/>
    <w:qFormat/>
    <w:tblPr>
      <w:tblCellMar>
        <w:left w:w="0" w:type="dxa"/>
        <w:top w:w="0" w:type="dxa"/>
        <w:right w:w="0" w:type="dxa"/>
        <w:bottom w:w="0" w:type="dxa"/>
      </w:tblCellMar>
    </w:tblPr>
  </w:style>
  <w:style w:type="table" w:styleId="1162" w:customStyle="1">
    <w:name w:val="Grid Table 2 - Accent 5"/>
    <w:uiPriority w:val="99"/>
    <w:qFormat/>
    <w:tblPr>
      <w:tblCellMar>
        <w:left w:w="0" w:type="dxa"/>
        <w:top w:w="0" w:type="dxa"/>
        <w:right w:w="0" w:type="dxa"/>
        <w:bottom w:w="0" w:type="dxa"/>
      </w:tblCellMar>
    </w:tblPr>
  </w:style>
  <w:style w:type="table" w:styleId="1163" w:customStyle="1">
    <w:name w:val="List Table 3 - Accent 1"/>
    <w:uiPriority w:val="99"/>
    <w:qFormat/>
    <w:tblPr>
      <w:tblCellMar>
        <w:left w:w="0" w:type="dxa"/>
        <w:top w:w="0" w:type="dxa"/>
        <w:right w:w="0" w:type="dxa"/>
        <w:bottom w:w="0" w:type="dxa"/>
      </w:tblCellMar>
    </w:tblPr>
  </w:style>
  <w:style w:type="table" w:styleId="1164" w:customStyle="1">
    <w:name w:val="Grid Table 7 Colorful - Accent 2"/>
    <w:uiPriority w:val="99"/>
    <w:qFormat/>
    <w:tblPr>
      <w:tblCellMar>
        <w:left w:w="0" w:type="dxa"/>
        <w:top w:w="0" w:type="dxa"/>
        <w:right w:w="0" w:type="dxa"/>
        <w:bottom w:w="0" w:type="dxa"/>
      </w:tblCellMar>
    </w:tblPr>
  </w:style>
  <w:style w:type="table" w:styleId="1165" w:customStyle="1">
    <w:name w:val="Grid Table 6 Colorful - Accent 1"/>
    <w:uiPriority w:val="99"/>
    <w:qFormat/>
    <w:tblPr>
      <w:tblCellMar>
        <w:left w:w="0" w:type="dxa"/>
        <w:top w:w="0" w:type="dxa"/>
        <w:right w:w="0" w:type="dxa"/>
        <w:bottom w:w="0" w:type="dxa"/>
      </w:tblCellMar>
    </w:tblPr>
  </w:style>
  <w:style w:type="table" w:styleId="1166" w:customStyle="1">
    <w:name w:val="List Table 4 - Accent 2"/>
    <w:uiPriority w:val="99"/>
    <w:qFormat/>
    <w:tblPr>
      <w:tblCellMar>
        <w:left w:w="0" w:type="dxa"/>
        <w:top w:w="0" w:type="dxa"/>
        <w:right w:w="0" w:type="dxa"/>
        <w:bottom w:w="0" w:type="dxa"/>
      </w:tblCellMar>
    </w:tblPr>
  </w:style>
  <w:style w:type="table" w:styleId="1167" w:customStyle="1">
    <w:name w:val="Lined - Accent 3"/>
    <w:uiPriority w:val="99"/>
    <w:qFormat/>
    <w:rPr>
      <w:color w:val="404040"/>
    </w:rPr>
    <w:tblPr>
      <w:tblCellMar>
        <w:left w:w="0" w:type="dxa"/>
        <w:top w:w="0" w:type="dxa"/>
        <w:right w:w="0" w:type="dxa"/>
        <w:bottom w:w="0" w:type="dxa"/>
      </w:tblCellMar>
    </w:tblPr>
  </w:style>
  <w:style w:type="table" w:styleId="1168" w:customStyle="1">
    <w:name w:val="Bordered &amp; Lined - Accent 1"/>
    <w:uiPriority w:val="99"/>
    <w:qFormat/>
    <w:rPr>
      <w:color w:val="404040"/>
    </w:rPr>
    <w:tblPr>
      <w:tblCellMar>
        <w:left w:w="0" w:type="dxa"/>
        <w:top w:w="0" w:type="dxa"/>
        <w:right w:w="0" w:type="dxa"/>
        <w:bottom w:w="0" w:type="dxa"/>
      </w:tblCellMar>
    </w:tblPr>
  </w:style>
  <w:style w:type="table" w:styleId="1169" w:customStyle="1">
    <w:name w:val="List Table 7 Colorful - Accent 4"/>
    <w:uiPriority w:val="99"/>
    <w:qFormat/>
    <w:tblPr>
      <w:tblCellMar>
        <w:left w:w="0" w:type="dxa"/>
        <w:top w:w="0" w:type="dxa"/>
        <w:right w:w="0" w:type="dxa"/>
        <w:bottom w:w="0" w:type="dxa"/>
      </w:tblCellMar>
    </w:tblPr>
  </w:style>
  <w:style w:type="table" w:styleId="1170" w:customStyle="1">
    <w:name w:val="List Table 3 - Accent 4"/>
    <w:uiPriority w:val="99"/>
    <w:qFormat/>
    <w:tblPr>
      <w:tblCellMar>
        <w:left w:w="0" w:type="dxa"/>
        <w:top w:w="0" w:type="dxa"/>
        <w:right w:w="0" w:type="dxa"/>
        <w:bottom w:w="0" w:type="dxa"/>
      </w:tblCellMar>
    </w:tblPr>
  </w:style>
  <w:style w:type="table" w:styleId="1171" w:customStyle="1">
    <w:name w:val="清单表 5 深色1"/>
    <w:uiPriority w:val="99"/>
    <w:qFormat/>
    <w:tblPr>
      <w:tblCellMar>
        <w:left w:w="0" w:type="dxa"/>
        <w:top w:w="0" w:type="dxa"/>
        <w:right w:w="0" w:type="dxa"/>
        <w:bottom w:w="0" w:type="dxa"/>
      </w:tblCellMar>
    </w:tblPr>
  </w:style>
  <w:style w:type="table" w:styleId="1172" w:customStyle="1">
    <w:name w:val="Lined - Accent 5"/>
    <w:uiPriority w:val="99"/>
    <w:qFormat/>
    <w:rPr>
      <w:color w:val="404040"/>
    </w:rPr>
    <w:tblPr>
      <w:tblCellMar>
        <w:left w:w="0" w:type="dxa"/>
        <w:top w:w="0" w:type="dxa"/>
        <w:right w:w="0" w:type="dxa"/>
        <w:bottom w:w="0" w:type="dxa"/>
      </w:tblCellMar>
    </w:tblPr>
  </w:style>
  <w:style w:type="table" w:styleId="1173" w:customStyle="1">
    <w:name w:val="清单表 1 浅色1"/>
    <w:uiPriority w:val="99"/>
    <w:qFormat/>
    <w:tblPr>
      <w:tblCellMar>
        <w:left w:w="0" w:type="dxa"/>
        <w:top w:w="0" w:type="dxa"/>
        <w:right w:w="0" w:type="dxa"/>
        <w:bottom w:w="0" w:type="dxa"/>
      </w:tblCellMar>
    </w:tblPr>
  </w:style>
  <w:style w:type="table" w:styleId="1174" w:customStyle="1">
    <w:name w:val="List Table 4 - Accent 6"/>
    <w:uiPriority w:val="99"/>
    <w:qFormat/>
    <w:tblPr>
      <w:tblCellMar>
        <w:left w:w="0" w:type="dxa"/>
        <w:top w:w="0" w:type="dxa"/>
        <w:right w:w="0" w:type="dxa"/>
        <w:bottom w:w="0" w:type="dxa"/>
      </w:tblCellMar>
    </w:tblPr>
  </w:style>
  <w:style w:type="table" w:styleId="1175" w:customStyle="1">
    <w:name w:val="清单表 41"/>
    <w:uiPriority w:val="99"/>
    <w:qFormat/>
    <w:tblPr>
      <w:tblCellMar>
        <w:left w:w="0" w:type="dxa"/>
        <w:top w:w="0" w:type="dxa"/>
        <w:right w:w="0" w:type="dxa"/>
        <w:bottom w:w="0" w:type="dxa"/>
      </w:tblCellMar>
    </w:tblPr>
  </w:style>
  <w:style w:type="table" w:styleId="1176" w:customStyle="1">
    <w:name w:val="清单表 6 彩色1"/>
    <w:uiPriority w:val="99"/>
    <w:qFormat/>
    <w:tblPr>
      <w:tblCellMar>
        <w:left w:w="0" w:type="dxa"/>
        <w:top w:w="0" w:type="dxa"/>
        <w:right w:w="0" w:type="dxa"/>
        <w:bottom w:w="0" w:type="dxa"/>
      </w:tblCellMar>
    </w:tblPr>
  </w:style>
  <w:style w:type="table" w:styleId="1177" w:customStyle="1">
    <w:name w:val="Grid Table 1 Light - Accent 5"/>
    <w:uiPriority w:val="99"/>
    <w:qFormat/>
    <w:tblPr>
      <w:tblCellMar>
        <w:left w:w="0" w:type="dxa"/>
        <w:top w:w="0" w:type="dxa"/>
        <w:right w:w="0" w:type="dxa"/>
        <w:bottom w:w="0" w:type="dxa"/>
      </w:tblCellMar>
    </w:tblPr>
  </w:style>
  <w:style w:type="table" w:styleId="1178" w:customStyle="1">
    <w:name w:val="List Table 5 Dark - Accent 1"/>
    <w:uiPriority w:val="99"/>
    <w:qFormat/>
    <w:tblPr>
      <w:tblCellMar>
        <w:left w:w="0" w:type="dxa"/>
        <w:top w:w="0" w:type="dxa"/>
        <w:right w:w="0" w:type="dxa"/>
        <w:bottom w:w="0" w:type="dxa"/>
      </w:tblCellMar>
    </w:tblPr>
  </w:style>
  <w:style w:type="table" w:styleId="1179" w:customStyle="1">
    <w:name w:val="List Table 6 Colorful - Accent 6"/>
    <w:uiPriority w:val="99"/>
    <w:qFormat/>
    <w:tblPr>
      <w:tblCellMar>
        <w:left w:w="0" w:type="dxa"/>
        <w:top w:w="0" w:type="dxa"/>
        <w:right w:w="0" w:type="dxa"/>
        <w:bottom w:w="0" w:type="dxa"/>
      </w:tblCellMar>
    </w:tblPr>
  </w:style>
  <w:style w:type="table" w:styleId="1180" w:customStyle="1">
    <w:name w:val="Grid Table 5 Dark - Accent 2"/>
    <w:uiPriority w:val="99"/>
    <w:qFormat/>
    <w:tblPr>
      <w:tblCellMar>
        <w:left w:w="0" w:type="dxa"/>
        <w:top w:w="0" w:type="dxa"/>
        <w:right w:w="0" w:type="dxa"/>
        <w:bottom w:w="0" w:type="dxa"/>
      </w:tblCellMar>
    </w:tblPr>
  </w:style>
  <w:style w:type="table" w:styleId="1181" w:customStyle="1">
    <w:name w:val="Bordered - Accent 3"/>
    <w:uiPriority w:val="99"/>
    <w:qFormat/>
    <w:tblPr>
      <w:tblCellMar>
        <w:left w:w="0" w:type="dxa"/>
        <w:top w:w="0" w:type="dxa"/>
        <w:right w:w="0" w:type="dxa"/>
        <w:bottom w:w="0" w:type="dxa"/>
      </w:tblCellMar>
    </w:tblPr>
  </w:style>
  <w:style w:type="table" w:styleId="1182" w:customStyle="1">
    <w:name w:val="Grid Table 3 - Accent 4"/>
    <w:uiPriority w:val="99"/>
    <w:qFormat/>
    <w:tblPr>
      <w:tblCellMar>
        <w:left w:w="0" w:type="dxa"/>
        <w:top w:w="0" w:type="dxa"/>
        <w:right w:w="0" w:type="dxa"/>
        <w:bottom w:w="0" w:type="dxa"/>
      </w:tblCellMar>
    </w:tblPr>
  </w:style>
  <w:style w:type="table" w:styleId="1183" w:customStyle="1">
    <w:name w:val="网格表 7 彩色1"/>
    <w:uiPriority w:val="99"/>
    <w:qFormat/>
    <w:tblPr>
      <w:tblCellMar>
        <w:left w:w="0" w:type="dxa"/>
        <w:top w:w="0" w:type="dxa"/>
        <w:right w:w="0" w:type="dxa"/>
        <w:bottom w:w="0" w:type="dxa"/>
      </w:tblCellMar>
    </w:tblPr>
  </w:style>
  <w:style w:type="table" w:styleId="1184" w:customStyle="1">
    <w:name w:val="Grid Table 5 Dark- Accent 4"/>
    <w:uiPriority w:val="99"/>
    <w:qFormat/>
    <w:tblPr>
      <w:tblCellMar>
        <w:left w:w="0" w:type="dxa"/>
        <w:top w:w="0" w:type="dxa"/>
        <w:right w:w="0" w:type="dxa"/>
        <w:bottom w:w="0" w:type="dxa"/>
      </w:tblCellMar>
    </w:tblPr>
  </w:style>
  <w:style w:type="table" w:styleId="1185" w:customStyle="1">
    <w:name w:val="Grid Table 3 - Accent 3"/>
    <w:uiPriority w:val="99"/>
    <w:qFormat/>
    <w:tblPr>
      <w:tblCellMar>
        <w:left w:w="0" w:type="dxa"/>
        <w:top w:w="0" w:type="dxa"/>
        <w:right w:w="0" w:type="dxa"/>
        <w:bottom w:w="0" w:type="dxa"/>
      </w:tblCellMar>
    </w:tblPr>
  </w:style>
  <w:style w:type="table" w:styleId="1186" w:customStyle="1">
    <w:name w:val="Grid Table 6 Colorful - Accent 3"/>
    <w:uiPriority w:val="99"/>
    <w:qFormat/>
    <w:tblPr>
      <w:tblCellMar>
        <w:left w:w="0" w:type="dxa"/>
        <w:top w:w="0" w:type="dxa"/>
        <w:right w:w="0" w:type="dxa"/>
        <w:bottom w:w="0" w:type="dxa"/>
      </w:tblCellMar>
    </w:tblPr>
  </w:style>
  <w:style w:type="table" w:styleId="1187" w:customStyle="1">
    <w:name w:val="List Table 6 Colorful - Accent 3"/>
    <w:uiPriority w:val="99"/>
    <w:qFormat/>
    <w:tblPr>
      <w:tblCellMar>
        <w:left w:w="0" w:type="dxa"/>
        <w:top w:w="0" w:type="dxa"/>
        <w:right w:w="0" w:type="dxa"/>
        <w:bottom w:w="0" w:type="dxa"/>
      </w:tblCellMar>
    </w:tblPr>
  </w:style>
  <w:style w:type="table" w:styleId="1188" w:customStyle="1">
    <w:name w:val="清单表 31"/>
    <w:uiPriority w:val="99"/>
    <w:qFormat/>
    <w:tblPr>
      <w:tblCellMar>
        <w:left w:w="0" w:type="dxa"/>
        <w:top w:w="0" w:type="dxa"/>
        <w:right w:w="0" w:type="dxa"/>
        <w:bottom w:w="0" w:type="dxa"/>
      </w:tblCellMar>
    </w:tblPr>
  </w:style>
  <w:style w:type="table" w:styleId="1189" w:customStyle="1">
    <w:name w:val="List Table 3 - Accent 3"/>
    <w:uiPriority w:val="99"/>
    <w:qFormat/>
    <w:tblPr>
      <w:tblCellMar>
        <w:left w:w="0" w:type="dxa"/>
        <w:top w:w="0" w:type="dxa"/>
        <w:right w:w="0" w:type="dxa"/>
        <w:bottom w:w="0" w:type="dxa"/>
      </w:tblCellMar>
    </w:tblPr>
  </w:style>
  <w:style w:type="table" w:styleId="1190" w:customStyle="1">
    <w:name w:val="Bordered &amp; Lined - Accent 5"/>
    <w:uiPriority w:val="99"/>
    <w:qFormat/>
    <w:rPr>
      <w:color w:val="404040"/>
    </w:rPr>
    <w:tblPr>
      <w:tblCellMar>
        <w:left w:w="0" w:type="dxa"/>
        <w:top w:w="0" w:type="dxa"/>
        <w:right w:w="0" w:type="dxa"/>
        <w:bottom w:w="0" w:type="dxa"/>
      </w:tblCellMar>
    </w:tblPr>
  </w:style>
  <w:style w:type="table" w:styleId="1191" w:customStyle="1">
    <w:name w:val="Grid Table 1 Light - Accent 1"/>
    <w:uiPriority w:val="99"/>
    <w:qFormat/>
    <w:tblPr>
      <w:tblCellMar>
        <w:left w:w="0" w:type="dxa"/>
        <w:top w:w="0" w:type="dxa"/>
        <w:right w:w="0" w:type="dxa"/>
        <w:bottom w:w="0" w:type="dxa"/>
      </w:tblCellMar>
    </w:tblPr>
  </w:style>
  <w:style w:type="table" w:styleId="1192" w:customStyle="1">
    <w:name w:val="Grid Table 6 Colorful - Accent 4"/>
    <w:uiPriority w:val="99"/>
    <w:qFormat/>
    <w:tblPr>
      <w:tblCellMar>
        <w:left w:w="0" w:type="dxa"/>
        <w:top w:w="0" w:type="dxa"/>
        <w:right w:w="0" w:type="dxa"/>
        <w:bottom w:w="0" w:type="dxa"/>
      </w:tblCellMar>
    </w:tblPr>
  </w:style>
  <w:style w:type="table" w:styleId="1193" w:customStyle="1">
    <w:name w:val="Grid Table 5 Dark - Accent 6"/>
    <w:uiPriority w:val="99"/>
    <w:qFormat/>
    <w:tblPr>
      <w:tblCellMar>
        <w:left w:w="0" w:type="dxa"/>
        <w:top w:w="0" w:type="dxa"/>
        <w:right w:w="0" w:type="dxa"/>
        <w:bottom w:w="0" w:type="dxa"/>
      </w:tblCellMar>
    </w:tblPr>
  </w:style>
  <w:style w:type="table" w:styleId="1194" w:customStyle="1">
    <w:name w:val="Grid Table 2 - Accent 2"/>
    <w:uiPriority w:val="99"/>
    <w:qFormat/>
    <w:tblPr>
      <w:tblCellMar>
        <w:left w:w="0" w:type="dxa"/>
        <w:top w:w="0" w:type="dxa"/>
        <w:right w:w="0" w:type="dxa"/>
        <w:bottom w:w="0" w:type="dxa"/>
      </w:tblCellMar>
    </w:tblPr>
  </w:style>
  <w:style w:type="table" w:styleId="1195" w:customStyle="1">
    <w:name w:val="List Table 1 Light - Accent 4"/>
    <w:uiPriority w:val="99"/>
    <w:qFormat/>
    <w:tblPr>
      <w:tblCellMar>
        <w:left w:w="0" w:type="dxa"/>
        <w:top w:w="0" w:type="dxa"/>
        <w:right w:w="0" w:type="dxa"/>
        <w:bottom w:w="0" w:type="dxa"/>
      </w:tblCellMar>
    </w:tblPr>
  </w:style>
  <w:style w:type="table" w:styleId="1196" w:customStyle="1">
    <w:name w:val="Grid Table 7 Colorful - Accent 5"/>
    <w:uiPriority w:val="99"/>
    <w:qFormat/>
    <w:tblPr>
      <w:tblCellMar>
        <w:left w:w="0" w:type="dxa"/>
        <w:top w:w="0" w:type="dxa"/>
        <w:right w:w="0" w:type="dxa"/>
        <w:bottom w:w="0" w:type="dxa"/>
      </w:tblCellMar>
    </w:tblPr>
  </w:style>
  <w:style w:type="table" w:styleId="1197" w:customStyle="1">
    <w:name w:val="List Table 1 Light - Accent 5"/>
    <w:uiPriority w:val="99"/>
    <w:qFormat/>
    <w:tblPr>
      <w:tblCellMar>
        <w:left w:w="0" w:type="dxa"/>
        <w:top w:w="0" w:type="dxa"/>
        <w:right w:w="0" w:type="dxa"/>
        <w:bottom w:w="0" w:type="dxa"/>
      </w:tblCellMar>
    </w:tblPr>
  </w:style>
  <w:style w:type="table" w:styleId="1198" w:customStyle="1">
    <w:name w:val="List Table 5 Dark - Accent 3"/>
    <w:uiPriority w:val="99"/>
    <w:qFormat/>
    <w:tblPr>
      <w:tblCellMar>
        <w:left w:w="0" w:type="dxa"/>
        <w:top w:w="0" w:type="dxa"/>
        <w:right w:w="0" w:type="dxa"/>
        <w:bottom w:w="0" w:type="dxa"/>
      </w:tblCellMar>
    </w:tblPr>
  </w:style>
  <w:style w:type="table" w:styleId="1199" w:customStyle="1">
    <w:name w:val="Bordered - Accent 6"/>
    <w:uiPriority w:val="99"/>
    <w:qFormat/>
    <w:tblPr>
      <w:tblCellMar>
        <w:left w:w="0" w:type="dxa"/>
        <w:top w:w="0" w:type="dxa"/>
        <w:right w:w="0" w:type="dxa"/>
        <w:bottom w:w="0" w:type="dxa"/>
      </w:tblCellMar>
    </w:tblPr>
  </w:style>
  <w:style w:type="table" w:styleId="1200" w:customStyle="1">
    <w:name w:val="无格式表格 21"/>
    <w:uiPriority w:val="59"/>
    <w:qFormat/>
    <w:tblPr>
      <w:tblCellMar>
        <w:left w:w="0" w:type="dxa"/>
        <w:top w:w="0" w:type="dxa"/>
        <w:right w:w="0" w:type="dxa"/>
        <w:bottom w:w="0" w:type="dxa"/>
      </w:tblCellMar>
    </w:tblPr>
  </w:style>
  <w:style w:type="table" w:styleId="1201" w:customStyle="1">
    <w:name w:val="List Table 7 Colorful - Accent 2"/>
    <w:uiPriority w:val="99"/>
    <w:qFormat/>
    <w:tblPr>
      <w:tblCellMar>
        <w:left w:w="0" w:type="dxa"/>
        <w:top w:w="0" w:type="dxa"/>
        <w:right w:w="0" w:type="dxa"/>
        <w:bottom w:w="0" w:type="dxa"/>
      </w:tblCellMar>
    </w:tblPr>
  </w:style>
  <w:style w:type="table" w:styleId="1202" w:customStyle="1">
    <w:name w:val="Grid Table 4 - Accent 5"/>
    <w:uiPriority w:val="59"/>
    <w:qFormat/>
    <w:tblPr>
      <w:tblCellMar>
        <w:left w:w="0" w:type="dxa"/>
        <w:top w:w="0" w:type="dxa"/>
        <w:right w:w="0" w:type="dxa"/>
        <w:bottom w:w="0" w:type="dxa"/>
      </w:tblCellMar>
    </w:tblPr>
  </w:style>
  <w:style w:type="table" w:styleId="1203" w:customStyle="1">
    <w:name w:val="Grid Table 5 Dark - Accent 3"/>
    <w:uiPriority w:val="99"/>
    <w:qFormat/>
    <w:tblPr>
      <w:tblCellMar>
        <w:left w:w="0" w:type="dxa"/>
        <w:top w:w="0" w:type="dxa"/>
        <w:right w:w="0" w:type="dxa"/>
        <w:bottom w:w="0" w:type="dxa"/>
      </w:tblCellMar>
    </w:tblPr>
  </w:style>
  <w:style w:type="table" w:styleId="1204" w:customStyle="1">
    <w:name w:val="Bordered &amp; Lined - Accent 3"/>
    <w:uiPriority w:val="99"/>
    <w:qFormat/>
    <w:rPr>
      <w:color w:val="404040"/>
    </w:rPr>
    <w:tblPr>
      <w:tblCellMar>
        <w:left w:w="0" w:type="dxa"/>
        <w:top w:w="0" w:type="dxa"/>
        <w:right w:w="0" w:type="dxa"/>
        <w:bottom w:w="0" w:type="dxa"/>
      </w:tblCellMar>
    </w:tblPr>
  </w:style>
  <w:style w:type="table" w:styleId="1205" w:customStyle="1">
    <w:name w:val="Bordered &amp; Lined - Accent 2"/>
    <w:uiPriority w:val="99"/>
    <w:qFormat/>
    <w:rPr>
      <w:color w:val="404040"/>
    </w:rPr>
    <w:tblPr>
      <w:tblCellMar>
        <w:left w:w="0" w:type="dxa"/>
        <w:top w:w="0" w:type="dxa"/>
        <w:right w:w="0" w:type="dxa"/>
        <w:bottom w:w="0" w:type="dxa"/>
      </w:tblCellMar>
    </w:tblPr>
  </w:style>
  <w:style w:type="table" w:styleId="1206" w:customStyle="1">
    <w:name w:val="Lined - Accent 2"/>
    <w:uiPriority w:val="99"/>
    <w:qFormat/>
    <w:rPr>
      <w:color w:val="404040"/>
    </w:rPr>
    <w:tblPr>
      <w:tblCellMar>
        <w:left w:w="0" w:type="dxa"/>
        <w:top w:w="0" w:type="dxa"/>
        <w:right w:w="0" w:type="dxa"/>
        <w:bottom w:w="0" w:type="dxa"/>
      </w:tblCellMar>
    </w:tblPr>
  </w:style>
  <w:style w:type="table" w:styleId="1207" w:customStyle="1">
    <w:name w:val="Bordered &amp; Lined - Accent 4"/>
    <w:uiPriority w:val="99"/>
    <w:qFormat/>
    <w:rPr>
      <w:color w:val="404040"/>
    </w:rPr>
    <w:tblPr>
      <w:tblCellMar>
        <w:left w:w="0" w:type="dxa"/>
        <w:top w:w="0" w:type="dxa"/>
        <w:right w:w="0" w:type="dxa"/>
        <w:bottom w:w="0" w:type="dxa"/>
      </w:tblCellMar>
    </w:tblPr>
  </w:style>
  <w:style w:type="table" w:styleId="1208" w:customStyle="1">
    <w:name w:val="List Table 3 - Accent 5"/>
    <w:uiPriority w:val="99"/>
    <w:qFormat/>
    <w:tblPr>
      <w:tblCellMar>
        <w:left w:w="0" w:type="dxa"/>
        <w:top w:w="0" w:type="dxa"/>
        <w:right w:w="0" w:type="dxa"/>
        <w:bottom w:w="0" w:type="dxa"/>
      </w:tblCellMar>
    </w:tblPr>
  </w:style>
  <w:style w:type="table" w:styleId="1209" w:customStyle="1">
    <w:name w:val="Grid Table 6 Colorful - Accent 6"/>
    <w:uiPriority w:val="99"/>
    <w:qFormat/>
    <w:tblPr>
      <w:tblCellMar>
        <w:left w:w="0" w:type="dxa"/>
        <w:top w:w="0" w:type="dxa"/>
        <w:right w:w="0" w:type="dxa"/>
        <w:bottom w:w="0" w:type="dxa"/>
      </w:tblCellMar>
    </w:tblPr>
  </w:style>
  <w:style w:type="table" w:styleId="1210" w:customStyle="1">
    <w:name w:val="List Table 3 - Accent 6"/>
    <w:uiPriority w:val="99"/>
    <w:qFormat/>
    <w:tblPr>
      <w:tblCellMar>
        <w:left w:w="0" w:type="dxa"/>
        <w:top w:w="0" w:type="dxa"/>
        <w:right w:w="0" w:type="dxa"/>
        <w:bottom w:w="0" w:type="dxa"/>
      </w:tblCellMar>
    </w:tblPr>
  </w:style>
  <w:style w:type="table" w:styleId="1211" w:customStyle="1">
    <w:name w:val="Grid Table 7 Colorful - Accent 3"/>
    <w:uiPriority w:val="99"/>
    <w:qFormat/>
    <w:tblPr>
      <w:tblCellMar>
        <w:left w:w="0" w:type="dxa"/>
        <w:top w:w="0" w:type="dxa"/>
        <w:right w:w="0" w:type="dxa"/>
        <w:bottom w:w="0" w:type="dxa"/>
      </w:tblCellMar>
    </w:tblPr>
  </w:style>
  <w:style w:type="table" w:styleId="1212" w:customStyle="1">
    <w:name w:val="Bordered"/>
    <w:uiPriority w:val="99"/>
    <w:qFormat/>
    <w:tblPr>
      <w:tblCellMar>
        <w:left w:w="0" w:type="dxa"/>
        <w:top w:w="0" w:type="dxa"/>
        <w:right w:w="0" w:type="dxa"/>
        <w:bottom w:w="0" w:type="dxa"/>
      </w:tblCellMar>
    </w:tblPr>
  </w:style>
  <w:style w:type="table" w:styleId="1213" w:customStyle="1">
    <w:name w:val="Bordered - Accent 2"/>
    <w:uiPriority w:val="99"/>
    <w:qFormat/>
    <w:tblPr>
      <w:tblCellMar>
        <w:left w:w="0" w:type="dxa"/>
        <w:top w:w="0" w:type="dxa"/>
        <w:right w:w="0" w:type="dxa"/>
        <w:bottom w:w="0" w:type="dxa"/>
      </w:tblCellMar>
    </w:tblPr>
  </w:style>
  <w:style w:type="table" w:styleId="1214" w:customStyle="1">
    <w:name w:val="网格表 1 浅色1"/>
    <w:uiPriority w:val="99"/>
    <w:qFormat/>
    <w:tblPr>
      <w:tblCellMar>
        <w:left w:w="0" w:type="dxa"/>
        <w:top w:w="0" w:type="dxa"/>
        <w:right w:w="0" w:type="dxa"/>
        <w:bottom w:w="0" w:type="dxa"/>
      </w:tblCellMar>
    </w:tblPr>
  </w:style>
  <w:style w:type="table" w:styleId="1215" w:customStyle="1">
    <w:name w:val="网格表 6 彩色1"/>
    <w:uiPriority w:val="99"/>
    <w:qFormat/>
    <w:tblPr>
      <w:tblCellMar>
        <w:left w:w="0" w:type="dxa"/>
        <w:top w:w="0" w:type="dxa"/>
        <w:right w:w="0" w:type="dxa"/>
        <w:bottom w:w="0" w:type="dxa"/>
      </w:tblCellMar>
    </w:tblPr>
  </w:style>
  <w:style w:type="table" w:styleId="1216" w:customStyle="1">
    <w:name w:val="Grid Table 1 Light - Accent 2"/>
    <w:uiPriority w:val="99"/>
    <w:qFormat/>
    <w:tblPr>
      <w:tblCellMar>
        <w:left w:w="0" w:type="dxa"/>
        <w:top w:w="0" w:type="dxa"/>
        <w:right w:w="0" w:type="dxa"/>
        <w:bottom w:w="0" w:type="dxa"/>
      </w:tblCellMar>
    </w:tblPr>
  </w:style>
  <w:style w:type="table" w:styleId="1217" w:customStyle="1">
    <w:name w:val="Grid Table 5 Dark- Accent 1"/>
    <w:uiPriority w:val="99"/>
    <w:qFormat/>
    <w:tblPr>
      <w:tblCellMar>
        <w:left w:w="0" w:type="dxa"/>
        <w:top w:w="0" w:type="dxa"/>
        <w:right w:w="0" w:type="dxa"/>
        <w:bottom w:w="0" w:type="dxa"/>
      </w:tblCellMar>
    </w:tblPr>
  </w:style>
  <w:style w:type="table" w:styleId="1218" w:customStyle="1">
    <w:name w:val="无格式表格 41"/>
    <w:uiPriority w:val="99"/>
    <w:qFormat/>
    <w:tblPr>
      <w:tblCellMar>
        <w:left w:w="0" w:type="dxa"/>
        <w:top w:w="0" w:type="dxa"/>
        <w:right w:w="0" w:type="dxa"/>
        <w:bottom w:w="0" w:type="dxa"/>
      </w:tblCellMar>
    </w:tblPr>
  </w:style>
  <w:style w:type="table" w:styleId="1219" w:customStyle="1">
    <w:name w:val="Grid Table 1 Light - Accent 4"/>
    <w:uiPriority w:val="99"/>
    <w:qFormat/>
    <w:tblPr>
      <w:tblCellMar>
        <w:left w:w="0" w:type="dxa"/>
        <w:top w:w="0" w:type="dxa"/>
        <w:right w:w="0" w:type="dxa"/>
        <w:bottom w:w="0" w:type="dxa"/>
      </w:tblCellMar>
    </w:tblPr>
  </w:style>
  <w:style w:type="table" w:styleId="1220" w:customStyle="1">
    <w:name w:val="网格表 21"/>
    <w:uiPriority w:val="99"/>
    <w:qFormat/>
    <w:tblPr>
      <w:tblCellMar>
        <w:left w:w="0" w:type="dxa"/>
        <w:top w:w="0" w:type="dxa"/>
        <w:right w:w="0" w:type="dxa"/>
        <w:bottom w:w="0" w:type="dxa"/>
      </w:tblCellMar>
    </w:tblPr>
  </w:style>
  <w:style w:type="table" w:styleId="1221" w:customStyle="1">
    <w:name w:val="List Table 4 - Accent 4"/>
    <w:uiPriority w:val="99"/>
    <w:qFormat/>
    <w:tblPr>
      <w:tblCellMar>
        <w:left w:w="0" w:type="dxa"/>
        <w:top w:w="0" w:type="dxa"/>
        <w:right w:w="0" w:type="dxa"/>
        <w:bottom w:w="0" w:type="dxa"/>
      </w:tblCellMar>
    </w:tblPr>
  </w:style>
  <w:style w:type="table" w:styleId="1222" w:customStyle="1">
    <w:name w:val="无格式表格 11"/>
    <w:uiPriority w:val="59"/>
    <w:qFormat/>
    <w:tblPr>
      <w:tblCellMar>
        <w:left w:w="0" w:type="dxa"/>
        <w:top w:w="0" w:type="dxa"/>
        <w:right w:w="0" w:type="dxa"/>
        <w:bottom w:w="0" w:type="dxa"/>
      </w:tblCellMar>
    </w:tblPr>
  </w:style>
  <w:style w:type="table" w:styleId="1223" w:customStyle="1">
    <w:name w:val="Bordered - Accent 5"/>
    <w:uiPriority w:val="99"/>
    <w:qFormat/>
    <w:tblPr>
      <w:tblCellMar>
        <w:left w:w="0" w:type="dxa"/>
        <w:top w:w="0" w:type="dxa"/>
        <w:right w:w="0" w:type="dxa"/>
        <w:bottom w:w="0" w:type="dxa"/>
      </w:tblCellMar>
    </w:tblPr>
  </w:style>
  <w:style w:type="table" w:styleId="1224" w:customStyle="1">
    <w:name w:val="List Table 6 Colorful - Accent 5"/>
    <w:uiPriority w:val="99"/>
    <w:qFormat/>
    <w:tblPr>
      <w:tblCellMar>
        <w:left w:w="0" w:type="dxa"/>
        <w:top w:w="0" w:type="dxa"/>
        <w:right w:w="0" w:type="dxa"/>
        <w:bottom w:w="0" w:type="dxa"/>
      </w:tblCellMar>
    </w:tblPr>
  </w:style>
  <w:style w:type="table" w:styleId="1225" w:customStyle="1">
    <w:name w:val="无格式表格 31"/>
    <w:uiPriority w:val="99"/>
    <w:qFormat/>
    <w:tblPr>
      <w:tblCellMar>
        <w:left w:w="0" w:type="dxa"/>
        <w:top w:w="0" w:type="dxa"/>
        <w:right w:w="0" w:type="dxa"/>
        <w:bottom w:w="0" w:type="dxa"/>
      </w:tblCellMar>
    </w:tblPr>
  </w:style>
  <w:style w:type="table" w:styleId="1226" w:customStyle="1">
    <w:name w:val="Bordered &amp; Lined - Accent"/>
    <w:uiPriority w:val="99"/>
    <w:qFormat/>
    <w:rPr>
      <w:color w:val="404040"/>
    </w:rPr>
    <w:tblPr>
      <w:tblCellMar>
        <w:left w:w="0" w:type="dxa"/>
        <w:top w:w="0" w:type="dxa"/>
        <w:right w:w="0" w:type="dxa"/>
        <w:bottom w:w="0" w:type="dxa"/>
      </w:tblCellMar>
    </w:tblPr>
  </w:style>
  <w:style w:type="table" w:styleId="1227" w:customStyle="1">
    <w:name w:val="List Table 6 Colorful - Accent 1"/>
    <w:uiPriority w:val="99"/>
    <w:qFormat/>
    <w:tblPr>
      <w:tblCellMar>
        <w:left w:w="0" w:type="dxa"/>
        <w:top w:w="0" w:type="dxa"/>
        <w:right w:w="0" w:type="dxa"/>
        <w:bottom w:w="0" w:type="dxa"/>
      </w:tblCellMar>
    </w:tblPr>
  </w:style>
  <w:style w:type="table" w:styleId="1228" w:customStyle="1">
    <w:name w:val="List Table 4 - Accent 3"/>
    <w:uiPriority w:val="99"/>
    <w:qFormat/>
    <w:tblPr>
      <w:tblCellMar>
        <w:left w:w="0" w:type="dxa"/>
        <w:top w:w="0" w:type="dxa"/>
        <w:right w:w="0" w:type="dxa"/>
        <w:bottom w:w="0" w:type="dxa"/>
      </w:tblCellMar>
    </w:tblPr>
  </w:style>
  <w:style w:type="table" w:styleId="1229" w:customStyle="1">
    <w:name w:val="List Table 7 Colorful - Accent 3"/>
    <w:uiPriority w:val="99"/>
    <w:qFormat/>
    <w:tblPr>
      <w:tblCellMar>
        <w:left w:w="0" w:type="dxa"/>
        <w:top w:w="0" w:type="dxa"/>
        <w:right w:w="0" w:type="dxa"/>
        <w:bottom w:w="0" w:type="dxa"/>
      </w:tblCellMar>
    </w:tblPr>
  </w:style>
  <w:style w:type="table" w:styleId="1230" w:customStyle="1">
    <w:name w:val="Grid Table 4 - Accent 2"/>
    <w:uiPriority w:val="59"/>
    <w:qFormat/>
    <w:tblPr>
      <w:tblCellMar>
        <w:left w:w="0" w:type="dxa"/>
        <w:top w:w="0" w:type="dxa"/>
        <w:right w:w="0" w:type="dxa"/>
        <w:bottom w:w="0" w:type="dxa"/>
      </w:tblCellMar>
    </w:tblPr>
  </w:style>
  <w:style w:type="table" w:styleId="1231" w:customStyle="1">
    <w:name w:val="Grid Table 2 - Accent 4"/>
    <w:uiPriority w:val="99"/>
    <w:qFormat/>
    <w:tblPr>
      <w:tblCellMar>
        <w:left w:w="0" w:type="dxa"/>
        <w:top w:w="0" w:type="dxa"/>
        <w:right w:w="0" w:type="dxa"/>
        <w:bottom w:w="0" w:type="dxa"/>
      </w:tblCellMar>
    </w:tblPr>
  </w:style>
  <w:style w:type="table" w:styleId="1232" w:customStyle="1">
    <w:name w:val="Grid Table 7 Colorful - Accent 1"/>
    <w:uiPriority w:val="99"/>
    <w:qFormat/>
    <w:tblPr>
      <w:tblCellMar>
        <w:left w:w="0" w:type="dxa"/>
        <w:top w:w="0" w:type="dxa"/>
        <w:right w:w="0" w:type="dxa"/>
        <w:bottom w:w="0" w:type="dxa"/>
      </w:tblCellMar>
    </w:tblPr>
  </w:style>
  <w:style w:type="table" w:styleId="1233" w:customStyle="1">
    <w:name w:val="List Table 5 Dark - Accent 4"/>
    <w:uiPriority w:val="99"/>
    <w:qFormat/>
    <w:tblPr>
      <w:tblCellMar>
        <w:left w:w="0" w:type="dxa"/>
        <w:top w:w="0" w:type="dxa"/>
        <w:right w:w="0" w:type="dxa"/>
        <w:bottom w:w="0" w:type="dxa"/>
      </w:tblCellMar>
    </w:tblPr>
  </w:style>
  <w:style w:type="table" w:styleId="1234" w:customStyle="1">
    <w:name w:val="List Table 2 - Accent 4"/>
    <w:uiPriority w:val="99"/>
    <w:qFormat/>
    <w:tblPr>
      <w:tblCellMar>
        <w:left w:w="0" w:type="dxa"/>
        <w:top w:w="0" w:type="dxa"/>
        <w:right w:w="0" w:type="dxa"/>
        <w:bottom w:w="0" w:type="dxa"/>
      </w:tblCellMar>
    </w:tblPr>
  </w:style>
  <w:style w:type="table" w:styleId="1235" w:customStyle="1">
    <w:name w:val="List Table 7 Colorful - Accent 5"/>
    <w:uiPriority w:val="99"/>
    <w:qFormat/>
    <w:tblPr>
      <w:tblCellMar>
        <w:left w:w="0" w:type="dxa"/>
        <w:top w:w="0" w:type="dxa"/>
        <w:right w:w="0" w:type="dxa"/>
        <w:bottom w:w="0" w:type="dxa"/>
      </w:tblCellMar>
    </w:tblPr>
  </w:style>
  <w:style w:type="table" w:styleId="1236" w:customStyle="1">
    <w:name w:val="Grid Table 4 - Accent 3"/>
    <w:uiPriority w:val="59"/>
    <w:qFormat/>
    <w:tblPr>
      <w:tblCellMar>
        <w:left w:w="0" w:type="dxa"/>
        <w:top w:w="0" w:type="dxa"/>
        <w:right w:w="0" w:type="dxa"/>
        <w:bottom w:w="0" w:type="dxa"/>
      </w:tblCellMar>
    </w:tblPr>
  </w:style>
  <w:style w:type="table" w:styleId="1237" w:customStyle="1">
    <w:name w:val="Bordered &amp; Lined - Accent 6"/>
    <w:uiPriority w:val="99"/>
    <w:qFormat/>
    <w:rPr>
      <w:color w:val="404040"/>
    </w:rPr>
    <w:tblPr>
      <w:tblCellMar>
        <w:left w:w="0" w:type="dxa"/>
        <w:top w:w="0" w:type="dxa"/>
        <w:right w:w="0" w:type="dxa"/>
        <w:bottom w:w="0" w:type="dxa"/>
      </w:tblCellMar>
    </w:tblPr>
  </w:style>
  <w:style w:type="table" w:styleId="1238" w:customStyle="1">
    <w:name w:val="Grid Table 7 Colorful - Accent 6"/>
    <w:uiPriority w:val="99"/>
    <w:qFormat/>
    <w:tblPr>
      <w:tblCellMar>
        <w:left w:w="0" w:type="dxa"/>
        <w:top w:w="0" w:type="dxa"/>
        <w:right w:w="0" w:type="dxa"/>
        <w:bottom w:w="0" w:type="dxa"/>
      </w:tblCellMar>
    </w:tblPr>
  </w:style>
  <w:style w:type="character" w:styleId="1239" w:customStyle="1">
    <w:name w:val="NormalCharacter"/>
    <w:uiPriority w:val="0"/>
    <w:semiHidden/>
    <w:qFormat/>
  </w:style>
  <w:style w:type="paragraph" w:styleId="1240" w:customStyle="1">
    <w:name w:val="Table Text"/>
    <w:uiPriority w:val="0"/>
    <w:qFormat/>
    <w:pPr>
      <w:spacing w:before="80" w:after="80"/>
    </w:pPr>
    <w:rPr>
      <w:rFonts w:ascii="Arial" w:hAnsi="Arial" w:eastAsia="Times New Roman" w:cs="Times New Roman"/>
      <w:sz w:val="18"/>
      <w:szCs w:val="18"/>
      <w:lang w:val="en-US" w:eastAsia="zh-CN" w:bidi="ar-SA"/>
    </w:rPr>
  </w:style>
  <w:style w:type="table" w:styleId="1241" w:customStyle="1">
    <w:name w:val="Table Normal"/>
    <w:uiPriority w:val="0"/>
    <w:semiHidden/>
    <w:unhideWhenUsed/>
    <w:qFormat/>
    <w:tblPr>
      <w:tblCellMar>
        <w:left w:w="0" w:type="dxa"/>
        <w:top w:w="0" w:type="dxa"/>
        <w:right w:w="0" w:type="dxa"/>
        <w:bottom w:w="0" w:type="dxa"/>
      </w:tblCellMar>
    </w:tblPr>
  </w:style>
  <w:style w:type="paragraph" w:styleId="1242" w:customStyle="1">
    <w:name w:val="正文13"/>
    <w:next w:val="1243"/>
    <w:uiPriority w:val="0"/>
    <w:qFormat/>
    <w:pPr>
      <w:jc w:val="both"/>
      <w:widowControl w:val="off"/>
    </w:pPr>
    <w:rPr>
      <w:rFonts w:ascii="Times New Roman" w:hAnsi="Times New Roman" w:eastAsia="宋体" w:cs="Times New Roman"/>
      <w:sz w:val="21"/>
      <w:szCs w:val="24"/>
      <w:lang w:val="en-US" w:eastAsia="zh-CN" w:bidi="ar-SA"/>
    </w:rPr>
  </w:style>
  <w:style w:type="paragraph" w:styleId="1243" w:customStyle="1">
    <w:name w:val="索引 41"/>
    <w:next w:val="1242"/>
    <w:uiPriority w:val="0"/>
    <w:qFormat/>
    <w:pPr>
      <w:ind w:left="600" w:firstLine="200"/>
      <w:jc w:val="both"/>
      <w:spacing w:line="274" w:lineRule="auto"/>
      <w:widowControl w:val="off"/>
    </w:pPr>
    <w:rPr>
      <w:rFonts w:ascii="Calibri" w:hAnsi="Calibri" w:eastAsia="仿宋_GB2312" w:cs="Times New Roman"/>
      <w:sz w:val="24"/>
      <w:szCs w:val="24"/>
      <w:lang w:val="en-US" w:eastAsia="zh-CN" w:bidi="ar-SA"/>
    </w:rPr>
  </w:style>
  <w:style w:type="paragraph" w:styleId="1244" w:customStyle="1">
    <w:name w:val="信息标题1"/>
    <w:next w:val="1029"/>
    <w:uiPriority w:val="99"/>
    <w:qFormat/>
    <w:pPr>
      <w:jc w:val="both"/>
      <w:shd w:val="pct20" w:color="auto" w:fill="auto"/>
      <w:widowControl w:val="off"/>
      <w:pBdr>
        <w:top w:val="none" w:color="000000" w:sz="0" w:space="1"/>
        <w:left w:val="none" w:color="000000" w:sz="0" w:space="1"/>
        <w:bottom w:val="none" w:color="000000" w:sz="0" w:space="1"/>
        <w:right w:val="none" w:color="000000" w:sz="0" w:space="1"/>
      </w:pBdr>
    </w:pPr>
    <w:rPr>
      <w:rFonts w:ascii="Arial" w:hAnsi="Arial" w:eastAsia="宋体" w:cs="Times New Roman"/>
      <w:color w:val="000000"/>
      <w:sz w:val="21"/>
      <w:szCs w:val="22"/>
      <w:lang w:val="en-US" w:eastAsia="zh-CN" w:bidi="ar-SA"/>
    </w:rPr>
  </w:style>
  <w:style w:type="paragraph" w:styleId="1245" w:customStyle="1">
    <w:name w:val="普通正文"/>
    <w:uiPriority w:val="0"/>
    <w:qFormat/>
    <w:pPr>
      <w:ind w:firstLine="480"/>
      <w:spacing w:before="120" w:after="120" w:line="360" w:lineRule="auto"/>
      <w:widowControl w:val="off"/>
    </w:pPr>
    <w:rPr>
      <w:rFonts w:ascii="Arial" w:hAnsi="Arial" w:eastAsia="宋体" w:cs="Times New Roman"/>
      <w:sz w:val="24"/>
      <w:szCs w:val="24"/>
      <w:lang w:val="en-US" w:eastAsia="zh-CN" w:bidi="ar-SA"/>
    </w:rPr>
  </w:style>
  <w:style w:type="paragraph" w:styleId="1246" w:customStyle="1">
    <w:name w:val="msolistparagraph"/>
    <w:uiPriority w:val="0"/>
    <w:qFormat/>
    <w:pPr>
      <w:ind w:firstLine="420"/>
      <w:jc w:val="both"/>
      <w:widowControl w:val="off"/>
    </w:pPr>
    <w:rPr>
      <w:rFonts w:ascii="Times New Roman" w:hAnsi="Times New Roman" w:eastAsia="宋体" w:cs="Times New Roman"/>
      <w:sz w:val="21"/>
      <w:szCs w:val="21"/>
      <w:lang w:val="en-US" w:eastAsia="zh-CN" w:bidi="ar-SA"/>
    </w:rPr>
  </w:style>
  <w:style w:type="paragraph" w:styleId="1247" w:customStyle="1">
    <w:name w:val="正文113"/>
    <w:next w:val="1248"/>
    <w:uiPriority w:val="0"/>
    <w:qFormat/>
    <w:pPr>
      <w:jc w:val="both"/>
      <w:widowControl w:val="off"/>
    </w:pPr>
    <w:rPr>
      <w:rFonts w:ascii="Times New Roman" w:hAnsi="Times New Roman" w:eastAsia="宋体" w:cs="Times New Roman"/>
      <w:sz w:val="21"/>
      <w:szCs w:val="24"/>
      <w:lang w:val="en-US" w:eastAsia="zh-CN" w:bidi="ar-SA"/>
    </w:rPr>
  </w:style>
  <w:style w:type="paragraph" w:styleId="1248" w:customStyle="1">
    <w:name w:val="BodyText1I21"/>
    <w:uiPriority w:val="0"/>
    <w:qFormat/>
    <w:pPr>
      <w:ind w:left="420" w:firstLine="420"/>
      <w:jc w:val="both"/>
      <w:spacing w:after="120"/>
      <w:widowControl w:val="off"/>
    </w:pPr>
    <w:rPr>
      <w:rFonts w:ascii="Times New Roman" w:hAnsi="Times New Roman" w:eastAsia="宋体" w:cs="Times New Roman"/>
      <w:sz w:val="21"/>
      <w:szCs w:val="24"/>
      <w:lang w:val="en-US" w:eastAsia="zh-CN" w:bidi="ar-SA"/>
    </w:rPr>
  </w:style>
  <w:style w:type="paragraph" w:styleId="1249" w:customStyle="1">
    <w:name w:val="正文文本缩进11"/>
    <w:next w:val="988"/>
    <w:uiPriority w:val="0"/>
    <w:qFormat/>
    <w:pPr>
      <w:ind w:left="420"/>
      <w:jc w:val="both"/>
      <w:spacing w:after="120"/>
      <w:widowControl w:val="off"/>
    </w:pPr>
    <w:rPr>
      <w:rFonts w:ascii="Times New Roman" w:hAnsi="Times New Roman" w:eastAsia="宋体" w:cs="Times New Roman"/>
      <w:sz w:val="21"/>
      <w:szCs w:val="24"/>
      <w:lang w:val="en-US" w:eastAsia="zh-CN" w:bidi="ar-SA"/>
    </w:rPr>
  </w:style>
  <w:style w:type="paragraph" w:styleId="1250" w:customStyle="1">
    <w:name w:val="目录 1111"/>
    <w:basedOn w:val="889"/>
    <w:next w:val="889"/>
    <w:uiPriority w:val="39"/>
    <w:qFormat/>
    <w:pPr>
      <w:jc w:val="left"/>
    </w:pPr>
    <w:rPr>
      <w:rFonts w:ascii="仿宋" w:hAnsi="仿宋" w:eastAsia="仿宋" w:cs="仿宋"/>
      <w:sz w:val="22"/>
      <w:szCs w:val="22"/>
      <w:lang w:val="zh-CN" w:bidi="zh-CN"/>
    </w:rPr>
  </w:style>
  <w:style w:type="character" w:styleId="1251" w:customStyle="1">
    <w:name w:val="批注框文本 Char2"/>
    <w:basedOn w:val="899"/>
    <w:link w:val="918"/>
    <w:uiPriority w:val="99"/>
    <w:semiHidden/>
    <w:qFormat/>
    <w:rPr>
      <w:sz w:val="18"/>
      <w:szCs w:val="18"/>
    </w:rPr>
  </w:style>
  <w:style w:type="numbering" w:styleId="125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customXml" Target="../customXml/item1.xml" /><Relationship Id="rId20"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微软</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dc:creator>
  <cp:lastModifiedBy>李旺旺</cp:lastModifiedBy>
  <cp:revision>93</cp:revision>
  <dcterms:created xsi:type="dcterms:W3CDTF">2018-06-10T05:29:00Z</dcterms:created>
  <dcterms:modified xsi:type="dcterms:W3CDTF">2025-11-13T01:37:12Z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2052-12.1.0.23125</vt:lpwstr>
  </property>
  <property fmtid="{D5CDD505-2E9C-101B-9397-08002B2CF9AE}" pid="3" name="ICV">
    <vt:lpwstr>9BE668E313864F00B18061EAB6321CFA_13</vt:lpwstr>
  </property>
  <property fmtid="{D5CDD505-2E9C-101B-9397-08002B2CF9AE}" pid="4" name="KSOTemplateDocerSaveRecord">
    <vt:lpwstr>eyJoZGlkIjoiYmQzZjE3NmJiMGI4ZDVkZDZmY2Q1MjczMmVhMjc4NGEiLCJ1c2VySWQiOiI1Mjk5MjUwODcifQ==</vt:lpwstr>
  </property>
</Properties>
</file>